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6910" w14:textId="6567D622" w:rsidR="004B6B8D" w:rsidRDefault="004B6B8D" w:rsidP="004B6B8D">
      <w:pPr>
        <w:pStyle w:val="BodyText"/>
        <w:jc w:val="right"/>
      </w:pPr>
      <w:r>
        <w:t>Draft for Conference. Please do not quote without the authors’ permission</w:t>
      </w:r>
    </w:p>
    <w:p w14:paraId="2B707902" w14:textId="313BF16C" w:rsidR="009438AE" w:rsidRDefault="009438AE" w:rsidP="009438AE">
      <w:pPr>
        <w:pStyle w:val="Heading1"/>
      </w:pPr>
      <w:r>
        <w:t>The OECD Model</w:t>
      </w:r>
      <w:r w:rsidR="00726BD1">
        <w:t xml:space="preserve"> Tax Convention</w:t>
      </w:r>
      <w:r>
        <w:t xml:space="preserve">: was there a </w:t>
      </w:r>
      <w:r w:rsidR="00B142CB">
        <w:t>g</w:t>
      </w:r>
      <w:r>
        <w:t xml:space="preserve">rand </w:t>
      </w:r>
      <w:r w:rsidR="00B142CB">
        <w:t>p</w:t>
      </w:r>
      <w:r>
        <w:t>lan?</w:t>
      </w:r>
    </w:p>
    <w:p w14:paraId="63A97986" w14:textId="77777777" w:rsidR="004B6B8D" w:rsidRPr="004B6B8D" w:rsidRDefault="004B6B8D" w:rsidP="004B6B8D">
      <w:pPr>
        <w:pStyle w:val="BodyText"/>
      </w:pPr>
    </w:p>
    <w:p w14:paraId="0663502E" w14:textId="72D1A4B7" w:rsidR="009438AE" w:rsidRDefault="004B6B8D" w:rsidP="004B6B8D">
      <w:pPr>
        <w:pStyle w:val="BodyText"/>
        <w:jc w:val="center"/>
      </w:pPr>
      <w:r>
        <w:t>Richard Vann and John Avery Jones</w:t>
      </w:r>
    </w:p>
    <w:p w14:paraId="6FA8F19F" w14:textId="77777777" w:rsidR="004B6B8D" w:rsidRDefault="004B6B8D" w:rsidP="004B6B8D">
      <w:pPr>
        <w:pStyle w:val="BodyText"/>
        <w:jc w:val="center"/>
      </w:pPr>
    </w:p>
    <w:p w14:paraId="5863992E" w14:textId="7D1A307F" w:rsidR="00726BD1" w:rsidRDefault="00726BD1" w:rsidP="00726BD1">
      <w:pPr>
        <w:pStyle w:val="Heading3"/>
      </w:pPr>
      <w:r>
        <w:t>Introduction</w:t>
      </w:r>
    </w:p>
    <w:p w14:paraId="70C36C93" w14:textId="7197832B" w:rsidR="00726BD1" w:rsidRDefault="00726BD1" w:rsidP="00726BD1">
      <w:pPr>
        <w:pStyle w:val="BodyText"/>
      </w:pPr>
      <w:r>
        <w:t xml:space="preserve">What became the OECD Model Tax Convention was the result of separate working </w:t>
      </w:r>
      <w:r w:rsidR="00CF0AB3">
        <w:t xml:space="preserve">parties set up by the predecessor </w:t>
      </w:r>
      <w:r w:rsidR="000022DE">
        <w:t xml:space="preserve">European </w:t>
      </w:r>
      <w:r w:rsidR="00CF0AB3">
        <w:t>body</w:t>
      </w:r>
      <w:r w:rsidR="00E926A5">
        <w:t>,</w:t>
      </w:r>
      <w:r w:rsidR="00CF0AB3">
        <w:t xml:space="preserve"> the </w:t>
      </w:r>
      <w:proofErr w:type="spellStart"/>
      <w:r w:rsidR="00CF0AB3">
        <w:t>OEEC</w:t>
      </w:r>
      <w:proofErr w:type="spellEnd"/>
      <w:r w:rsidR="00E926A5">
        <w:t>,</w:t>
      </w:r>
      <w:r w:rsidR="00122CD0" w:rsidRPr="00122CD0">
        <w:t xml:space="preserve"> </w:t>
      </w:r>
      <w:r w:rsidR="009A413B">
        <w:t xml:space="preserve">writing </w:t>
      </w:r>
      <w:r w:rsidR="00122CD0">
        <w:t>each article</w:t>
      </w:r>
      <w:r w:rsidR="009A413B">
        <w:t xml:space="preserve"> and its commentary</w:t>
      </w:r>
      <w:r w:rsidR="00CF0AB3">
        <w:t>. This chapter will examine the degree of coordination between the working parties in order to discover whether there was any grand plan or whether the result was a series of separate articles. The question is particularly important in relation to the priority between the articles where income falls within more than one article.</w:t>
      </w:r>
    </w:p>
    <w:p w14:paraId="51EE1165" w14:textId="34C34EC2" w:rsidR="007C05AC" w:rsidRDefault="007C05AC" w:rsidP="007C05AC">
      <w:pPr>
        <w:pStyle w:val="Heading3"/>
      </w:pPr>
      <w:r>
        <w:t>Pre-</w:t>
      </w:r>
      <w:proofErr w:type="spellStart"/>
      <w:r>
        <w:t>OEEC</w:t>
      </w:r>
      <w:proofErr w:type="spellEnd"/>
      <w:r>
        <w:t xml:space="preserve"> history</w:t>
      </w:r>
    </w:p>
    <w:p w14:paraId="43B13D4C" w14:textId="13A69A50" w:rsidR="007C05AC" w:rsidRPr="007C05AC" w:rsidRDefault="007C05AC" w:rsidP="007C05AC">
      <w:pPr>
        <w:pStyle w:val="BodyText"/>
      </w:pPr>
      <w:r>
        <w:t>The previous model tax treaties were the Mexico (19</w:t>
      </w:r>
      <w:r w:rsidR="00901CBD">
        <w:t>43</w:t>
      </w:r>
      <w:r>
        <w:t>) and London (19</w:t>
      </w:r>
      <w:r w:rsidR="00901CBD">
        <w:t>46</w:t>
      </w:r>
      <w:r w:rsidR="008D2ED6">
        <w:t>) drafts by the League of Nations.</w:t>
      </w:r>
      <w:r w:rsidR="00401593">
        <w:t xml:space="preserve"> Their development during wartime was unsatisfactory</w:t>
      </w:r>
      <w:r w:rsidR="009B6CE5">
        <w:t>,</w:t>
      </w:r>
      <w:r w:rsidR="00401593">
        <w:t xml:space="preserve"> resulting in an over-emphasis on source taxation in the former, and an attempt to correct this in the latter. </w:t>
      </w:r>
      <w:r w:rsidR="003F0468">
        <w:t>Starting in 1947 a</w:t>
      </w:r>
      <w:r w:rsidR="00401593">
        <w:t xml:space="preserve"> </w:t>
      </w:r>
      <w:r w:rsidR="002D4822">
        <w:t xml:space="preserve">Fiscal </w:t>
      </w:r>
      <w:r w:rsidR="003F0468">
        <w:t>Commission</w:t>
      </w:r>
      <w:r w:rsidR="002D4822">
        <w:t xml:space="preserve"> of the United Nations </w:t>
      </w:r>
      <w:r w:rsidR="00401593">
        <w:t xml:space="preserve">operated but </w:t>
      </w:r>
      <w:r w:rsidR="002D4822">
        <w:t xml:space="preserve">East-West </w:t>
      </w:r>
      <w:r w:rsidR="002A206D">
        <w:t xml:space="preserve">politics </w:t>
      </w:r>
      <w:r w:rsidR="00B56A92">
        <w:t xml:space="preserve">and differences of view between developed and developing countries </w:t>
      </w:r>
      <w:r w:rsidR="002A206D">
        <w:t xml:space="preserve">prevented </w:t>
      </w:r>
      <w:r w:rsidR="00B56A92">
        <w:t xml:space="preserve">any </w:t>
      </w:r>
      <w:r w:rsidR="003F0468">
        <w:t xml:space="preserve">significant </w:t>
      </w:r>
      <w:r w:rsidR="002A206D">
        <w:t xml:space="preserve">technical </w:t>
      </w:r>
      <w:r w:rsidR="00401593">
        <w:t>progress</w:t>
      </w:r>
      <w:r w:rsidR="00C73625">
        <w:t>;</w:t>
      </w:r>
      <w:r w:rsidR="00401593">
        <w:t xml:space="preserve"> </w:t>
      </w:r>
      <w:r w:rsidR="002A206D">
        <w:t xml:space="preserve">and no progress </w:t>
      </w:r>
      <w:r w:rsidR="003F0468">
        <w:t xml:space="preserve">at all </w:t>
      </w:r>
      <w:r w:rsidR="002D4822">
        <w:t xml:space="preserve">was made </w:t>
      </w:r>
      <w:r w:rsidR="00401593">
        <w:t xml:space="preserve">over </w:t>
      </w:r>
      <w:r w:rsidR="002A206D">
        <w:t xml:space="preserve">model </w:t>
      </w:r>
      <w:r w:rsidR="00401593">
        <w:t>tax treaties</w:t>
      </w:r>
      <w:r w:rsidR="002A206D">
        <w:t>, leaving it to states to continue to develop these for themselves</w:t>
      </w:r>
      <w:r w:rsidR="00C73625">
        <w:t>,</w:t>
      </w:r>
      <w:r w:rsidR="007D0F3A">
        <w:t xml:space="preserve"> naturally </w:t>
      </w:r>
      <w:r w:rsidR="00C73625">
        <w:t>resulting in</w:t>
      </w:r>
      <w:r w:rsidR="007D0F3A">
        <w:t xml:space="preserve"> wide variations between them</w:t>
      </w:r>
      <w:r w:rsidR="00401593">
        <w:t>.</w:t>
      </w:r>
      <w:r w:rsidR="002A206D">
        <w:rPr>
          <w:rStyle w:val="FootnoteReference"/>
        </w:rPr>
        <w:footnoteReference w:id="1"/>
      </w:r>
      <w:r w:rsidR="008D2ED6">
        <w:t xml:space="preserve"> The</w:t>
      </w:r>
      <w:r w:rsidR="00401593">
        <w:t xml:space="preserve"> League’s</w:t>
      </w:r>
      <w:r w:rsidR="008D2ED6">
        <w:t xml:space="preserve"> models </w:t>
      </w:r>
      <w:r w:rsidR="002D4822">
        <w:t xml:space="preserve">therefore </w:t>
      </w:r>
      <w:r w:rsidR="008D2ED6">
        <w:t xml:space="preserve">had limited influence on the </w:t>
      </w:r>
      <w:proofErr w:type="spellStart"/>
      <w:r w:rsidR="008D2ED6">
        <w:t>OEEC</w:t>
      </w:r>
      <w:proofErr w:type="spellEnd"/>
      <w:r w:rsidR="008D2ED6">
        <w:t xml:space="preserve"> when it started work on what resulted in the OECD 1963 Draft</w:t>
      </w:r>
      <w:r w:rsidR="00555D86">
        <w:t xml:space="preserve"> Convention</w:t>
      </w:r>
      <w:r w:rsidR="00555D86">
        <w:rPr>
          <w:rStyle w:val="FootnoteReference"/>
        </w:rPr>
        <w:footnoteReference w:id="2"/>
      </w:r>
      <w:r w:rsidR="00F4236F">
        <w:t xml:space="preserve">; </w:t>
      </w:r>
      <w:r w:rsidR="00901CBD">
        <w:t>treaties in existence between member states</w:t>
      </w:r>
      <w:r w:rsidR="00F4236F" w:rsidRPr="00F4236F">
        <w:t xml:space="preserve"> </w:t>
      </w:r>
      <w:r w:rsidR="00F4236F">
        <w:t>had far greater influence</w:t>
      </w:r>
      <w:r w:rsidR="00901CBD">
        <w:t>.</w:t>
      </w:r>
      <w:r w:rsidR="00505024">
        <w:t xml:space="preserve"> Of the 15 original working parties</w:t>
      </w:r>
      <w:r w:rsidR="00A651B6">
        <w:t>,</w:t>
      </w:r>
      <w:r w:rsidR="00505024">
        <w:t xml:space="preserve"> </w:t>
      </w:r>
      <w:r w:rsidR="00D04C39">
        <w:t>ten</w:t>
      </w:r>
      <w:r w:rsidR="00505024">
        <w:t xml:space="preserve"> </w:t>
      </w:r>
      <w:r w:rsidR="00F54563">
        <w:t xml:space="preserve">referred to </w:t>
      </w:r>
      <w:r w:rsidR="00953FDC">
        <w:t>actual treaties</w:t>
      </w:r>
      <w:r w:rsidR="00A651B6">
        <w:t xml:space="preserve"> as their </w:t>
      </w:r>
      <w:r w:rsidR="00B56A92">
        <w:t xml:space="preserve">primary </w:t>
      </w:r>
      <w:r w:rsidR="00A651B6">
        <w:t>source</w:t>
      </w:r>
      <w:r w:rsidR="00953FDC">
        <w:t xml:space="preserve">, often quoting them, </w:t>
      </w:r>
      <w:r w:rsidR="00D04C39">
        <w:t>three</w:t>
      </w:r>
      <w:r w:rsidR="00953FDC">
        <w:t xml:space="preserve"> referred to both treaties and the League</w:t>
      </w:r>
      <w:r w:rsidR="00B56A92">
        <w:t>’s</w:t>
      </w:r>
      <w:r w:rsidR="00953FDC">
        <w:t xml:space="preserve"> drafts,</w:t>
      </w:r>
      <w:r w:rsidR="00A651B6">
        <w:rPr>
          <w:rStyle w:val="FootnoteReference"/>
        </w:rPr>
        <w:footnoteReference w:id="3"/>
      </w:r>
      <w:r w:rsidR="00953FDC">
        <w:t xml:space="preserve"> and </w:t>
      </w:r>
      <w:r w:rsidR="00D04C39">
        <w:t>two</w:t>
      </w:r>
      <w:r w:rsidR="00953FDC">
        <w:t xml:space="preserve"> did not quote any sources.</w:t>
      </w:r>
    </w:p>
    <w:p w14:paraId="0F7445EE" w14:textId="30FAE0B6" w:rsidR="00032E0E" w:rsidRDefault="00032E0E" w:rsidP="00032E0E">
      <w:pPr>
        <w:pStyle w:val="Heading3"/>
      </w:pPr>
      <w:r>
        <w:t xml:space="preserve">The </w:t>
      </w:r>
      <w:proofErr w:type="spellStart"/>
      <w:r>
        <w:t>OEEC’s</w:t>
      </w:r>
      <w:proofErr w:type="spellEnd"/>
      <w:r>
        <w:t xml:space="preserve"> method of preparing the 1963 Draft</w:t>
      </w:r>
    </w:p>
    <w:p w14:paraId="498659EF" w14:textId="45695EC1" w:rsidR="004D0E54" w:rsidRDefault="002B61D2" w:rsidP="002B61D2">
      <w:pPr>
        <w:pStyle w:val="BodyText"/>
      </w:pPr>
      <w:r>
        <w:t xml:space="preserve">The Fiscal Committee </w:t>
      </w:r>
      <w:r w:rsidR="009438AE">
        <w:t xml:space="preserve">(FC) </w:t>
      </w:r>
      <w:r w:rsidR="00CE7E1C">
        <w:t xml:space="preserve">of the </w:t>
      </w:r>
      <w:proofErr w:type="spellStart"/>
      <w:r w:rsidR="00CE7E1C">
        <w:t>OEEC</w:t>
      </w:r>
      <w:proofErr w:type="spellEnd"/>
      <w:r w:rsidR="00CE7E1C">
        <w:t xml:space="preserve"> </w:t>
      </w:r>
      <w:r>
        <w:t xml:space="preserve">was set up by </w:t>
      </w:r>
      <w:r w:rsidR="001F3BD2">
        <w:t>its</w:t>
      </w:r>
      <w:r>
        <w:t xml:space="preserve"> Council</w:t>
      </w:r>
      <w:r w:rsidR="009C2EF7">
        <w:rPr>
          <w:rStyle w:val="FootnoteReference"/>
        </w:rPr>
        <w:footnoteReference w:id="4"/>
      </w:r>
      <w:r>
        <w:t xml:space="preserve"> </w:t>
      </w:r>
      <w:r w:rsidR="0008528E">
        <w:t xml:space="preserve">in 1956 </w:t>
      </w:r>
      <w:r>
        <w:t>as a result of urging initially by the International Chamber of Commerce</w:t>
      </w:r>
      <w:r>
        <w:rPr>
          <w:rStyle w:val="FootnoteReference"/>
        </w:rPr>
        <w:footnoteReference w:id="5"/>
      </w:r>
      <w:r>
        <w:t xml:space="preserve"> and then by the Dutch</w:t>
      </w:r>
      <w:r w:rsidR="00FB21EB">
        <w:t xml:space="preserve">, </w:t>
      </w:r>
      <w:r w:rsidR="00FB21EB">
        <w:lastRenderedPageBreak/>
        <w:t>German and Swiss</w:t>
      </w:r>
      <w:r>
        <w:t xml:space="preserve"> delegation</w:t>
      </w:r>
      <w:r w:rsidR="007233C1">
        <w:t>s</w:t>
      </w:r>
      <w:r>
        <w:t>.</w:t>
      </w:r>
      <w:r w:rsidR="007D6B9F">
        <w:rPr>
          <w:rStyle w:val="FootnoteReference"/>
        </w:rPr>
        <w:footnoteReference w:id="6"/>
      </w:r>
      <w:r>
        <w:t xml:space="preserve">  </w:t>
      </w:r>
      <w:r w:rsidR="00181DFA">
        <w:t xml:space="preserve">Perhaps surprisingly the UK had </w:t>
      </w:r>
      <w:r w:rsidR="00624445">
        <w:t xml:space="preserve">at first </w:t>
      </w:r>
      <w:r w:rsidR="00181DFA">
        <w:t xml:space="preserve">argued against setting </w:t>
      </w:r>
      <w:r w:rsidR="001F3BD2">
        <w:t>it</w:t>
      </w:r>
      <w:r w:rsidR="00181DFA">
        <w:t xml:space="preserve"> up</w:t>
      </w:r>
      <w:r w:rsidR="00FB21EB">
        <w:t xml:space="preserve"> on the </w:t>
      </w:r>
      <w:r w:rsidR="000022DE">
        <w:t>ground</w:t>
      </w:r>
      <w:r w:rsidR="00FB21EB">
        <w:t xml:space="preserve"> that </w:t>
      </w:r>
      <w:r w:rsidR="00624445">
        <w:t xml:space="preserve">it had </w:t>
      </w:r>
      <w:r w:rsidR="00FB21EB">
        <w:t xml:space="preserve">treaties with nearly all </w:t>
      </w:r>
      <w:proofErr w:type="spellStart"/>
      <w:r w:rsidR="00FB21EB">
        <w:t>OEEC</w:t>
      </w:r>
      <w:proofErr w:type="spellEnd"/>
      <w:r w:rsidR="00FB21EB">
        <w:t xml:space="preserve"> countries and it doubted whether any practical results would emerge</w:t>
      </w:r>
      <w:r w:rsidR="007233C1">
        <w:t xml:space="preserve"> from </w:t>
      </w:r>
      <w:r w:rsidR="007D6B9F">
        <w:t>the</w:t>
      </w:r>
      <w:r w:rsidR="00624445">
        <w:t xml:space="preserve"> </w:t>
      </w:r>
      <w:r w:rsidR="007233C1">
        <w:t>theoretical discussions</w:t>
      </w:r>
      <w:r w:rsidR="007D6B9F">
        <w:t xml:space="preserve"> that seemed to be proposed</w:t>
      </w:r>
      <w:r w:rsidR="00FB21EB">
        <w:t>.</w:t>
      </w:r>
      <w:r w:rsidR="007233C1">
        <w:rPr>
          <w:rStyle w:val="FootnoteReference"/>
        </w:rPr>
        <w:footnoteReference w:id="7"/>
      </w:r>
      <w:r w:rsidR="00FB21EB">
        <w:t xml:space="preserve"> However, it transpired that </w:t>
      </w:r>
      <w:r w:rsidR="007233C1">
        <w:t>other countries were strongly in favour and there was more emphasis on practical results, so the UK gave qualified approval</w:t>
      </w:r>
      <w:r w:rsidR="00401D20">
        <w:t xml:space="preserve"> </w:t>
      </w:r>
      <w:r w:rsidR="001F3BD2">
        <w:t xml:space="preserve">in order </w:t>
      </w:r>
      <w:r w:rsidR="00401D20">
        <w:t xml:space="preserve">to </w:t>
      </w:r>
      <w:r w:rsidR="009C2EF7">
        <w:t>maintain</w:t>
      </w:r>
      <w:r w:rsidR="00401D20">
        <w:t xml:space="preserve"> goodwill and to be able to influence any recommendations</w:t>
      </w:r>
      <w:r w:rsidR="00BA09A4">
        <w:t>, which it did</w:t>
      </w:r>
      <w:r w:rsidR="00181DFA">
        <w:t xml:space="preserve">. </w:t>
      </w:r>
    </w:p>
    <w:p w14:paraId="29846DFF" w14:textId="04B407B6" w:rsidR="002B61D2" w:rsidRDefault="002B61D2" w:rsidP="002B61D2">
      <w:pPr>
        <w:pStyle w:val="BodyText"/>
      </w:pPr>
      <w:r>
        <w:t xml:space="preserve">The terms of reference </w:t>
      </w:r>
      <w:r w:rsidR="004D0E54">
        <w:t xml:space="preserve">of the FC </w:t>
      </w:r>
      <w:r>
        <w:t xml:space="preserve">were worked out by an ad hoc committee of experts on taxation under the chairmanship of van den </w:t>
      </w:r>
      <w:proofErr w:type="spellStart"/>
      <w:r>
        <w:t>Temp</w:t>
      </w:r>
      <w:r w:rsidR="00ED72E2">
        <w:t>el</w:t>
      </w:r>
      <w:proofErr w:type="spellEnd"/>
      <w:r>
        <w:t>, the Director General of Fiscal Affairs in the Netherlands</w:t>
      </w:r>
      <w:r w:rsidR="009117A1">
        <w:t>,</w:t>
      </w:r>
      <w:r w:rsidR="009A413B">
        <w:t xml:space="preserve"> who would go on to chair the FC</w:t>
      </w:r>
      <w:r>
        <w:t>.</w:t>
      </w:r>
      <w:r>
        <w:rPr>
          <w:rStyle w:val="FootnoteReference"/>
        </w:rPr>
        <w:footnoteReference w:id="8"/>
      </w:r>
      <w:r>
        <w:t xml:space="preserve">  The FC was given the ambitious, if not impossible, </w:t>
      </w:r>
      <w:r w:rsidR="00DE6E32">
        <w:t>task</w:t>
      </w:r>
      <w:r>
        <w:t xml:space="preserve"> of dealing with all the following</w:t>
      </w:r>
      <w:r>
        <w:rPr>
          <w:rStyle w:val="FootnoteReference"/>
        </w:rPr>
        <w:footnoteReference w:id="9"/>
      </w:r>
      <w:r>
        <w:t xml:space="preserve"> in the period from March 1956 to July 1958 when it would be determined whether the F</w:t>
      </w:r>
      <w:r w:rsidR="00D81A14">
        <w:t>C</w:t>
      </w:r>
      <w:r>
        <w:t xml:space="preserve"> should be continued.</w:t>
      </w:r>
      <w:r>
        <w:rPr>
          <w:rStyle w:val="FootnoteReference"/>
        </w:rPr>
        <w:footnoteReference w:id="10"/>
      </w:r>
      <w:r>
        <w:t xml:space="preserve">  </w:t>
      </w:r>
    </w:p>
    <w:p w14:paraId="587C934C" w14:textId="77777777" w:rsidR="002B61D2" w:rsidRDefault="002B61D2" w:rsidP="002B61D2">
      <w:pPr>
        <w:pStyle w:val="BodyTextIndent"/>
      </w:pPr>
      <w:r>
        <w:t>A - Direct Taxation</w:t>
      </w:r>
    </w:p>
    <w:p w14:paraId="3E2BA546" w14:textId="77777777" w:rsidR="002B61D2" w:rsidRDefault="002B61D2" w:rsidP="009117A1">
      <w:pPr>
        <w:pStyle w:val="BodyTextIndent"/>
        <w:ind w:left="720"/>
      </w:pPr>
      <w:r>
        <w:t>The committee should submit concrete proposals as to which taxes on income, capital, estates and inheritances should be included in double taxation agreements, and which methods should apply in such agreement especially as regards apportionment between commercial profits, taxation or investment income, royalties and similar payments.</w:t>
      </w:r>
    </w:p>
    <w:p w14:paraId="2B704007" w14:textId="0EA0E326" w:rsidR="002B61D2" w:rsidRDefault="002B61D2" w:rsidP="002B61D2">
      <w:pPr>
        <w:pStyle w:val="BodyTextIndent"/>
        <w:keepNext/>
        <w:ind w:left="284" w:firstLine="283"/>
      </w:pPr>
      <w:r>
        <w:t>B – Indirect Taxation [summary omitted]</w:t>
      </w:r>
    </w:p>
    <w:p w14:paraId="3891BC14" w14:textId="77777777" w:rsidR="002B61D2" w:rsidRDefault="002B61D2" w:rsidP="002B61D2">
      <w:pPr>
        <w:pStyle w:val="BodyTextIndent"/>
      </w:pPr>
      <w:r>
        <w:t>C - Standardisation of concepts</w:t>
      </w:r>
    </w:p>
    <w:p w14:paraId="49E916A5" w14:textId="77777777" w:rsidR="002B61D2" w:rsidRDefault="002B61D2" w:rsidP="009117A1">
      <w:pPr>
        <w:pStyle w:val="BodyTextIndent"/>
        <w:ind w:left="720"/>
      </w:pPr>
      <w:r>
        <w:t>The Committee should submit concrete proposals as regards the means or standardisation of the most important concepts to be found in double taxation agreements.</w:t>
      </w:r>
    </w:p>
    <w:p w14:paraId="0E168772" w14:textId="77777777" w:rsidR="002B61D2" w:rsidRDefault="002B61D2" w:rsidP="002B61D2">
      <w:pPr>
        <w:pStyle w:val="BodyTextIndent"/>
      </w:pPr>
      <w:r>
        <w:t>D - Inequalities in taxation on grounds of nationality</w:t>
      </w:r>
    </w:p>
    <w:p w14:paraId="1156C92E" w14:textId="77777777" w:rsidR="002B61D2" w:rsidRDefault="002B61D2" w:rsidP="009117A1">
      <w:pPr>
        <w:pStyle w:val="BodyTextIndent"/>
        <w:ind w:left="720"/>
      </w:pPr>
      <w:r>
        <w:t>The Committee should make concrete proposals concerning the means of removal of such inequalities.</w:t>
      </w:r>
      <w:bookmarkStart w:id="0" w:name="_Ref227491400"/>
      <w:r>
        <w:rPr>
          <w:rStyle w:val="FootnoteReference"/>
        </w:rPr>
        <w:footnoteReference w:id="11"/>
      </w:r>
      <w:bookmarkEnd w:id="0"/>
    </w:p>
    <w:p w14:paraId="1D7B171E" w14:textId="39DEBB81" w:rsidR="000022DE" w:rsidRDefault="002B61D2" w:rsidP="00122CD0">
      <w:pPr>
        <w:pStyle w:val="BodyText"/>
      </w:pPr>
      <w:r w:rsidRPr="00122CD0">
        <w:t>The</w:t>
      </w:r>
      <w:r>
        <w:t xml:space="preserve"> Fiscal Committee made an interim report in 1957</w:t>
      </w:r>
      <w:bookmarkStart w:id="1" w:name="_Ref227751468"/>
      <w:r>
        <w:rPr>
          <w:rStyle w:val="FootnoteReference"/>
        </w:rPr>
        <w:footnoteReference w:id="12"/>
      </w:r>
      <w:bookmarkEnd w:id="1"/>
      <w:r>
        <w:t xml:space="preserve"> and a further report in 1958</w:t>
      </w:r>
      <w:r>
        <w:rPr>
          <w:rStyle w:val="FootnoteReference"/>
        </w:rPr>
        <w:footnoteReference w:id="13"/>
      </w:r>
      <w:r>
        <w:t xml:space="preserve"> by which time it had prepared draft articles and commentar</w:t>
      </w:r>
      <w:r w:rsidR="0008528E">
        <w:t>ies</w:t>
      </w:r>
      <w:r>
        <w:t xml:space="preserve"> on taxes</w:t>
      </w:r>
      <w:r w:rsidR="00F55C19">
        <w:t xml:space="preserve"> covered</w:t>
      </w:r>
      <w:r>
        <w:t xml:space="preserve">, </w:t>
      </w:r>
      <w:r w:rsidR="00ED72E2">
        <w:t xml:space="preserve">the definitions of </w:t>
      </w:r>
      <w:r>
        <w:t>permanent establishment</w:t>
      </w:r>
      <w:r w:rsidR="0051088D">
        <w:t xml:space="preserve"> (PE)</w:t>
      </w:r>
      <w:r w:rsidR="00ED72E2">
        <w:t xml:space="preserve"> and</w:t>
      </w:r>
      <w:r>
        <w:t xml:space="preserve"> fiscal domicile, and non-discrimination, which became a </w:t>
      </w:r>
      <w:r w:rsidR="00D16367">
        <w:t xml:space="preserve">published </w:t>
      </w:r>
      <w:r>
        <w:t xml:space="preserve">recommendation of the Council </w:t>
      </w:r>
      <w:r w:rsidR="009117A1">
        <w:t xml:space="preserve">in September 1958 </w:t>
      </w:r>
      <w:r>
        <w:t>to be adopted in treaties.</w:t>
      </w:r>
      <w:r>
        <w:rPr>
          <w:rStyle w:val="FootnoteReference"/>
        </w:rPr>
        <w:footnoteReference w:id="14"/>
      </w:r>
      <w:r>
        <w:t xml:space="preserve">  This was a very considerable achievement in such a short </w:t>
      </w:r>
      <w:r>
        <w:lastRenderedPageBreak/>
        <w:t>period.  Further Reports followed in July 1959,</w:t>
      </w:r>
      <w:r>
        <w:rPr>
          <w:rStyle w:val="FootnoteReference"/>
        </w:rPr>
        <w:footnoteReference w:id="15"/>
      </w:r>
      <w:r>
        <w:t xml:space="preserve"> August 1960</w:t>
      </w:r>
      <w:r>
        <w:rPr>
          <w:rStyle w:val="FootnoteReference"/>
        </w:rPr>
        <w:footnoteReference w:id="16"/>
      </w:r>
      <w:r>
        <w:t xml:space="preserve"> and August 1961</w:t>
      </w:r>
      <w:r w:rsidR="00566034">
        <w:t>.</w:t>
      </w:r>
      <w:r>
        <w:rPr>
          <w:rStyle w:val="FootnoteReference"/>
        </w:rPr>
        <w:footnoteReference w:id="17"/>
      </w:r>
      <w:r>
        <w:t xml:space="preserve"> </w:t>
      </w:r>
      <w:r w:rsidR="00566034">
        <w:t xml:space="preserve">The staged </w:t>
      </w:r>
      <w:r w:rsidR="00BE4F1D">
        <w:t>setting up</w:t>
      </w:r>
      <w:r w:rsidR="00664DAA">
        <w:t xml:space="preserve"> of the Working Parties (WPs) </w:t>
      </w:r>
      <w:r w:rsidR="00D50DAA">
        <w:t>over a two</w:t>
      </w:r>
      <w:r w:rsidR="009117A1">
        <w:t>-</w:t>
      </w:r>
      <w:r w:rsidR="00D50DAA">
        <w:t>and</w:t>
      </w:r>
      <w:r w:rsidR="009117A1">
        <w:t>-</w:t>
      </w:r>
      <w:r w:rsidR="00D50DAA">
        <w:t>a</w:t>
      </w:r>
      <w:r w:rsidR="009117A1">
        <w:t>-</w:t>
      </w:r>
      <w:r w:rsidR="00D50DAA">
        <w:t xml:space="preserve">half year period </w:t>
      </w:r>
      <w:r w:rsidR="00664DAA">
        <w:t xml:space="preserve">and </w:t>
      </w:r>
      <w:r w:rsidR="00D50DAA">
        <w:t xml:space="preserve">the </w:t>
      </w:r>
      <w:r w:rsidR="00566034">
        <w:t xml:space="preserve">publication </w:t>
      </w:r>
      <w:r w:rsidR="001B0FAE">
        <w:t xml:space="preserve">of their reports </w:t>
      </w:r>
      <w:r w:rsidR="00D50DAA">
        <w:t xml:space="preserve">at roughly yearly intervals </w:t>
      </w:r>
      <w:r w:rsidR="00566034">
        <w:t xml:space="preserve">meant that not </w:t>
      </w:r>
      <w:r w:rsidR="00664DAA">
        <w:t>all</w:t>
      </w:r>
      <w:r w:rsidR="00566034">
        <w:t xml:space="preserve"> </w:t>
      </w:r>
      <w:r w:rsidR="00D04C39">
        <w:t xml:space="preserve">WPs </w:t>
      </w:r>
      <w:r w:rsidR="00566034">
        <w:t xml:space="preserve">were </w:t>
      </w:r>
      <w:r w:rsidR="007B745B">
        <w:t xml:space="preserve">operating simultaneously </w:t>
      </w:r>
      <w:r w:rsidR="00566034">
        <w:t xml:space="preserve">because some ceased </w:t>
      </w:r>
      <w:r w:rsidR="007B745B">
        <w:t>when a report was issued</w:t>
      </w:r>
      <w:r w:rsidR="00566034">
        <w:t xml:space="preserve"> </w:t>
      </w:r>
      <w:r w:rsidR="00BE4F1D">
        <w:t xml:space="preserve">before others were active </w:t>
      </w:r>
      <w:r w:rsidR="00566034">
        <w:t xml:space="preserve">but there were times when about </w:t>
      </w:r>
      <w:r w:rsidR="00DE75D3">
        <w:t>six</w:t>
      </w:r>
      <w:r w:rsidR="00566034">
        <w:t xml:space="preserve"> </w:t>
      </w:r>
      <w:r w:rsidR="009117A1">
        <w:t xml:space="preserve">WPs </w:t>
      </w:r>
      <w:r w:rsidR="00566034">
        <w:t>were operating simultaneously</w:t>
      </w:r>
      <w:r w:rsidR="007B745B">
        <w:t>.</w:t>
      </w:r>
      <w:r w:rsidR="00BE4F1D">
        <w:rPr>
          <w:rStyle w:val="FootnoteReference"/>
        </w:rPr>
        <w:footnoteReference w:id="18"/>
      </w:r>
      <w:r w:rsidR="00F44760">
        <w:t xml:space="preserve"> </w:t>
      </w:r>
      <w:r>
        <w:t>With minor changes the articles included in these reports plus six further articles</w:t>
      </w:r>
      <w:r>
        <w:rPr>
          <w:rStyle w:val="FootnoteReference"/>
        </w:rPr>
        <w:footnoteReference w:id="19"/>
      </w:r>
      <w:r>
        <w:t xml:space="preserve"> were joined together to become the OECD </w:t>
      </w:r>
      <w:r w:rsidR="00110296">
        <w:t xml:space="preserve">(as the </w:t>
      </w:r>
      <w:proofErr w:type="spellStart"/>
      <w:r w:rsidR="00110296">
        <w:t>OEEC</w:t>
      </w:r>
      <w:proofErr w:type="spellEnd"/>
      <w:r w:rsidR="00110296">
        <w:t xml:space="preserve"> had become </w:t>
      </w:r>
      <w:r w:rsidR="00D04C39">
        <w:t xml:space="preserve">in 1961 </w:t>
      </w:r>
      <w:r w:rsidR="00110296">
        <w:t xml:space="preserve">on the admission of the US and Canada) </w:t>
      </w:r>
      <w:r w:rsidR="006C25CC">
        <w:t xml:space="preserve">1963 </w:t>
      </w:r>
      <w:r>
        <w:t xml:space="preserve">Draft </w:t>
      </w:r>
      <w:r w:rsidR="006C25CC">
        <w:t>Convention</w:t>
      </w:r>
      <w:r w:rsidR="001B0FAE">
        <w:t>.</w:t>
      </w:r>
      <w:r w:rsidR="00D81A14">
        <w:rPr>
          <w:rStyle w:val="FootnoteReference"/>
        </w:rPr>
        <w:footnoteReference w:id="20"/>
      </w:r>
      <w:r w:rsidR="001B0FAE">
        <w:t xml:space="preserve"> The </w:t>
      </w:r>
      <w:r w:rsidR="00122CD0">
        <w:t xml:space="preserve">whole </w:t>
      </w:r>
      <w:r w:rsidR="001B0FAE">
        <w:t xml:space="preserve">process was therefore completed for the bulk of the articles </w:t>
      </w:r>
      <w:r w:rsidR="00122CD0">
        <w:t xml:space="preserve">in about 5 years </w:t>
      </w:r>
      <w:r w:rsidR="001B0FAE">
        <w:t>and 7 years in total</w:t>
      </w:r>
      <w:r>
        <w:t>.</w:t>
      </w:r>
      <w:r w:rsidR="0008528E">
        <w:t xml:space="preserve"> </w:t>
      </w:r>
    </w:p>
    <w:p w14:paraId="219BA445" w14:textId="169388F2" w:rsidR="009D29E4" w:rsidRDefault="0008528E" w:rsidP="002B61D2">
      <w:pPr>
        <w:pStyle w:val="BodyText"/>
      </w:pPr>
      <w:r>
        <w:t>Of the terms of reference</w:t>
      </w:r>
      <w:r w:rsidR="00401593">
        <w:t>,</w:t>
      </w:r>
      <w:r>
        <w:t xml:space="preserve"> C </w:t>
      </w:r>
      <w:r w:rsidR="000D1044">
        <w:t xml:space="preserve">(standardisation of treaty concepts) </w:t>
      </w:r>
      <w:r>
        <w:t xml:space="preserve">was </w:t>
      </w:r>
      <w:r w:rsidR="000D1044">
        <w:t xml:space="preserve">particularly </w:t>
      </w:r>
      <w:r>
        <w:t>important</w:t>
      </w:r>
      <w:r w:rsidR="00555D86">
        <w:t xml:space="preserve"> at the time</w:t>
      </w:r>
      <w:r>
        <w:t>. Before the FC started work many member states had their own treaty wording that they tried to impose on other weaker states</w:t>
      </w:r>
      <w:r w:rsidR="00401593">
        <w:t xml:space="preserve"> which resulted in considerable variations between treaties. </w:t>
      </w:r>
      <w:r w:rsidR="00283EFE">
        <w:t>For example</w:t>
      </w:r>
      <w:r w:rsidR="00F80268">
        <w:t>,</w:t>
      </w:r>
      <w:r w:rsidR="00283EFE">
        <w:t xml:space="preserve"> </w:t>
      </w:r>
      <w:r w:rsidR="009F12D7">
        <w:t xml:space="preserve">in </w:t>
      </w:r>
      <w:r w:rsidR="006F1848">
        <w:t>17</w:t>
      </w:r>
      <w:r w:rsidR="009F12D7">
        <w:t xml:space="preserve"> treaties between 1945 and </w:t>
      </w:r>
      <w:r w:rsidR="006F1848">
        <w:t>1956</w:t>
      </w:r>
      <w:r w:rsidR="009F12D7">
        <w:t xml:space="preserve"> </w:t>
      </w:r>
      <w:r w:rsidR="007F529C">
        <w:t>the UK</w:t>
      </w:r>
      <w:r w:rsidR="009F12D7">
        <w:t>’s</w:t>
      </w:r>
      <w:r w:rsidR="007F529C">
        <w:t xml:space="preserve"> preferred </w:t>
      </w:r>
      <w:r w:rsidR="00342455">
        <w:t>definition of residence of being resident for domestic law in one</w:t>
      </w:r>
      <w:r w:rsidR="009D29E4">
        <w:t>,</w:t>
      </w:r>
      <w:r w:rsidR="00342455">
        <w:t xml:space="preserve"> but not the other</w:t>
      </w:r>
      <w:r w:rsidR="009D29E4">
        <w:t>,</w:t>
      </w:r>
      <w:r w:rsidR="00342455">
        <w:t xml:space="preserve"> state</w:t>
      </w:r>
      <w:r w:rsidR="009D29E4">
        <w:t>, thus completely excluding dual residents,</w:t>
      </w:r>
      <w:r w:rsidR="00B40E94" w:rsidRPr="00B40E94">
        <w:t xml:space="preserve"> </w:t>
      </w:r>
      <w:r w:rsidR="00B40E94">
        <w:t>was adopted in all but two;</w:t>
      </w:r>
      <w:r w:rsidR="00B40E94">
        <w:rPr>
          <w:rStyle w:val="FootnoteReference"/>
        </w:rPr>
        <w:footnoteReference w:id="21"/>
      </w:r>
      <w:r w:rsidR="00342455">
        <w:t xml:space="preserve"> and </w:t>
      </w:r>
      <w:r w:rsidR="00425134">
        <w:t xml:space="preserve">the statement that </w:t>
      </w:r>
      <w:r w:rsidR="00342455">
        <w:t>a company was resident where it was managed and controlled</w:t>
      </w:r>
      <w:r w:rsidR="00B40E94">
        <w:t xml:space="preserve"> was adopted in all but t</w:t>
      </w:r>
      <w:r w:rsidR="00555D86">
        <w:t>hree</w:t>
      </w:r>
      <w:bookmarkStart w:id="2" w:name="_Ref98237635"/>
      <w:r w:rsidR="001A0892">
        <w:rPr>
          <w:rStyle w:val="FootnoteReference"/>
        </w:rPr>
        <w:footnoteReference w:id="22"/>
      </w:r>
      <w:bookmarkEnd w:id="2"/>
      <w:r w:rsidR="00342455">
        <w:t xml:space="preserve"> </w:t>
      </w:r>
      <w:r w:rsidR="00425134">
        <w:t>even though</w:t>
      </w:r>
      <w:r w:rsidR="00342455">
        <w:t xml:space="preserve"> </w:t>
      </w:r>
      <w:r w:rsidR="001F0BE8">
        <w:t xml:space="preserve">in some cases </w:t>
      </w:r>
      <w:r w:rsidR="00342455">
        <w:t xml:space="preserve">the definition was </w:t>
      </w:r>
      <w:r w:rsidR="00DE75D3">
        <w:t xml:space="preserve">contrary to </w:t>
      </w:r>
      <w:r w:rsidR="00342455">
        <w:t>the other country’s domestic law.</w:t>
      </w:r>
      <w:r w:rsidR="001A0892">
        <w:rPr>
          <w:rStyle w:val="FootnoteReference"/>
        </w:rPr>
        <w:footnoteReference w:id="23"/>
      </w:r>
      <w:r w:rsidR="009D29E4">
        <w:t xml:space="preserve"> There was more variation in the residence definition in the five German treaties between 1952 and 1956</w:t>
      </w:r>
      <w:r w:rsidR="00425134">
        <w:t>:</w:t>
      </w:r>
      <w:r w:rsidR="00425134" w:rsidRPr="00425134">
        <w:t xml:space="preserve"> </w:t>
      </w:r>
      <w:r w:rsidR="00425134">
        <w:t>two applied the domestic law meaning of residence, two set out the definition of residence (which may have been similar to domestic law), and one is silent on the definition; one resolved dual residence on the basis of nationality, and two excluded dual residents from treaty benefits completely.</w:t>
      </w:r>
      <w:r w:rsidR="00425134">
        <w:rPr>
          <w:rStyle w:val="FootnoteReference"/>
        </w:rPr>
        <w:footnoteReference w:id="24"/>
      </w:r>
    </w:p>
    <w:p w14:paraId="4236D14E" w14:textId="2589197D" w:rsidR="007F529C" w:rsidRPr="007F529C" w:rsidRDefault="001F55EA" w:rsidP="002B61D2">
      <w:pPr>
        <w:pStyle w:val="BodyText"/>
      </w:pPr>
      <w:r>
        <w:lastRenderedPageBreak/>
        <w:t xml:space="preserve">The </w:t>
      </w:r>
      <w:r w:rsidR="00D04C39">
        <w:t>permanent establishment (</w:t>
      </w:r>
      <w:r>
        <w:t>PE</w:t>
      </w:r>
      <w:r w:rsidR="00D04C39">
        <w:t>)</w:t>
      </w:r>
      <w:r>
        <w:t xml:space="preserve"> definition was subject to </w:t>
      </w:r>
      <w:r w:rsidR="000022DE">
        <w:t>greater</w:t>
      </w:r>
      <w:r>
        <w:t xml:space="preserve"> differences, but the pattern was similar. </w:t>
      </w:r>
      <w:r w:rsidR="009D29E4">
        <w:t xml:space="preserve">The UK’s preferred </w:t>
      </w:r>
      <w:r w:rsidR="007F529C">
        <w:t xml:space="preserve">definition </w:t>
      </w:r>
      <w:r w:rsidR="009D29E4">
        <w:t xml:space="preserve">was </w:t>
      </w:r>
      <w:r w:rsidR="00DB756E">
        <w:t xml:space="preserve">included in </w:t>
      </w:r>
      <w:r w:rsidR="006F1848">
        <w:t>eight</w:t>
      </w:r>
      <w:r w:rsidR="00DB756E">
        <w:t xml:space="preserve"> </w:t>
      </w:r>
      <w:r w:rsidR="001F59D6">
        <w:t xml:space="preserve">of those </w:t>
      </w:r>
      <w:r w:rsidR="00DB756E">
        <w:t>treaties</w:t>
      </w:r>
      <w:r w:rsidR="009D29E4">
        <w:t>,</w:t>
      </w:r>
      <w:r w:rsidR="006F1848">
        <w:rPr>
          <w:rStyle w:val="FootnoteReference"/>
          <w:lang w:val="en-AU"/>
        </w:rPr>
        <w:footnoteReference w:id="25"/>
      </w:r>
      <w:r w:rsidR="00DB756E">
        <w:t xml:space="preserve"> </w:t>
      </w:r>
      <w:r w:rsidR="007F529C">
        <w:t>that it ‘</w:t>
      </w:r>
      <w:r w:rsidR="007F529C" w:rsidRPr="007F529C">
        <w:rPr>
          <w:lang w:val="en-AU"/>
        </w:rPr>
        <w:t>means a branch, management, factory, or other fixed place of business</w:t>
      </w:r>
      <w:r w:rsidR="007F529C">
        <w:rPr>
          <w:lang w:val="en-AU"/>
        </w:rPr>
        <w:t>’</w:t>
      </w:r>
      <w:r w:rsidR="000337E2">
        <w:rPr>
          <w:lang w:val="en-AU"/>
        </w:rPr>
        <w:t>; agents were dealt with</w:t>
      </w:r>
      <w:r w:rsidR="00E66EF4">
        <w:rPr>
          <w:lang w:val="en-AU"/>
        </w:rPr>
        <w:t xml:space="preserve"> in common form in </w:t>
      </w:r>
      <w:r w:rsidR="008A333B">
        <w:rPr>
          <w:lang w:val="en-AU"/>
        </w:rPr>
        <w:t xml:space="preserve">virtually </w:t>
      </w:r>
      <w:r w:rsidR="00E66EF4">
        <w:rPr>
          <w:lang w:val="en-AU"/>
        </w:rPr>
        <w:t>all the treaties</w:t>
      </w:r>
      <w:r w:rsidR="00E66EF4">
        <w:rPr>
          <w:rStyle w:val="FootnoteReference"/>
          <w:lang w:val="en-AU"/>
        </w:rPr>
        <w:footnoteReference w:id="26"/>
      </w:r>
      <w:r w:rsidR="006F1848">
        <w:rPr>
          <w:lang w:val="en-AU"/>
        </w:rPr>
        <w:t>;</w:t>
      </w:r>
      <w:r w:rsidR="000337E2">
        <w:rPr>
          <w:lang w:val="en-AU"/>
        </w:rPr>
        <w:t xml:space="preserve"> the purchase of goods was excluded</w:t>
      </w:r>
      <w:r w:rsidR="006F1848">
        <w:rPr>
          <w:lang w:val="en-AU"/>
        </w:rPr>
        <w:t>;</w:t>
      </w:r>
      <w:r w:rsidR="000337E2">
        <w:rPr>
          <w:lang w:val="en-AU"/>
        </w:rPr>
        <w:t xml:space="preserve"> and a subsidiary did not of itself qualify as a PE</w:t>
      </w:r>
      <w:r w:rsidR="00B841A1">
        <w:rPr>
          <w:lang w:val="en-AU"/>
        </w:rPr>
        <w:t>. Even those eight had some variations</w:t>
      </w:r>
      <w:r w:rsidR="00C32DE0">
        <w:rPr>
          <w:lang w:val="en-AU"/>
        </w:rPr>
        <w:t>,</w:t>
      </w:r>
      <w:r w:rsidR="00B841A1">
        <w:rPr>
          <w:lang w:val="en-AU"/>
        </w:rPr>
        <w:t xml:space="preserve"> and the other treaties </w:t>
      </w:r>
      <w:r w:rsidR="00C32DE0">
        <w:rPr>
          <w:lang w:val="en-AU"/>
        </w:rPr>
        <w:t>contained more</w:t>
      </w:r>
      <w:r w:rsidR="00A0485B">
        <w:rPr>
          <w:lang w:val="en-AU"/>
        </w:rPr>
        <w:t xml:space="preserve"> </w:t>
      </w:r>
      <w:r w:rsidR="000337E2">
        <w:rPr>
          <w:lang w:val="en-AU"/>
        </w:rPr>
        <w:t>variations.</w:t>
      </w:r>
      <w:r w:rsidR="000337E2">
        <w:rPr>
          <w:rStyle w:val="FootnoteReference"/>
          <w:lang w:val="en-AU"/>
        </w:rPr>
        <w:footnoteReference w:id="27"/>
      </w:r>
      <w:r w:rsidR="00552EFF">
        <w:rPr>
          <w:lang w:val="en-AU"/>
        </w:rPr>
        <w:t xml:space="preserve"> </w:t>
      </w:r>
      <w:r w:rsidR="00B841A1">
        <w:rPr>
          <w:lang w:val="en-AU"/>
        </w:rPr>
        <w:t xml:space="preserve">There was </w:t>
      </w:r>
      <w:r w:rsidR="00AC5559">
        <w:rPr>
          <w:lang w:val="en-AU"/>
        </w:rPr>
        <w:t xml:space="preserve">even </w:t>
      </w:r>
      <w:r w:rsidR="00B841A1">
        <w:rPr>
          <w:lang w:val="en-AU"/>
        </w:rPr>
        <w:t xml:space="preserve">less similarity in the definition in the </w:t>
      </w:r>
      <w:r w:rsidR="00A0485B">
        <w:t xml:space="preserve">five German treaties </w:t>
      </w:r>
      <w:r w:rsidR="00B841A1">
        <w:t xml:space="preserve">all of which </w:t>
      </w:r>
      <w:r w:rsidR="00A0485B">
        <w:t>had different definitions of PE.</w:t>
      </w:r>
      <w:r w:rsidR="00A0485B">
        <w:rPr>
          <w:rStyle w:val="FootnoteReference"/>
        </w:rPr>
        <w:footnoteReference w:id="28"/>
      </w:r>
      <w:r w:rsidR="00425134" w:rsidRPr="00425134">
        <w:t xml:space="preserve"> </w:t>
      </w:r>
      <w:r w:rsidR="00425134">
        <w:t>Once the FC had produced drafts these were generally adopted by all states with variations only to suit difference</w:t>
      </w:r>
      <w:r w:rsidR="00F65AAF">
        <w:t>s</w:t>
      </w:r>
      <w:r w:rsidR="00425134">
        <w:t xml:space="preserve"> in domestic law.</w:t>
      </w:r>
    </w:p>
    <w:p w14:paraId="5F6A10DB" w14:textId="49EA0405" w:rsidR="004030F4" w:rsidRPr="004030F4" w:rsidRDefault="004030F4" w:rsidP="004030F4">
      <w:pPr>
        <w:pStyle w:val="BodyText"/>
        <w:rPr>
          <w:lang w:val="en-AU"/>
        </w:rPr>
      </w:pPr>
      <w:r w:rsidRPr="004030F4">
        <w:rPr>
          <w:lang w:val="en-AU"/>
        </w:rPr>
        <w:t xml:space="preserve">The drafting of treaty articles and their commentaries was carried out by 16 differently WPs consisting of delegates from generally two countries drawn from the 18 European countries involved in the </w:t>
      </w:r>
      <w:proofErr w:type="spellStart"/>
      <w:r w:rsidRPr="004030F4">
        <w:rPr>
          <w:lang w:val="en-AU"/>
        </w:rPr>
        <w:t>OEEC</w:t>
      </w:r>
      <w:proofErr w:type="spellEnd"/>
      <w:r w:rsidRPr="004030F4">
        <w:rPr>
          <w:lang w:val="en-AU"/>
        </w:rPr>
        <w:t xml:space="preserve"> meetings (apart from observers), expanded to 20 members when it became the OECD in 1961.</w:t>
      </w:r>
      <w:r w:rsidR="00C978AD">
        <w:rPr>
          <w:rStyle w:val="FootnoteReference"/>
          <w:lang w:val="en-AU"/>
        </w:rPr>
        <w:footnoteReference w:id="29"/>
      </w:r>
      <w:r w:rsidRPr="004030F4">
        <w:rPr>
          <w:lang w:val="en-AU"/>
        </w:rPr>
        <w:t xml:space="preserve"> </w:t>
      </w:r>
      <w:r w:rsidR="00C660AF">
        <w:rPr>
          <w:lang w:val="en-AU"/>
        </w:rPr>
        <w:t>We shall concentrate on the overall position but t</w:t>
      </w:r>
      <w:r w:rsidR="008B734E">
        <w:rPr>
          <w:lang w:val="en-AU"/>
        </w:rPr>
        <w:t xml:space="preserve">he difficulties faced by </w:t>
      </w:r>
      <w:r w:rsidR="002002F1">
        <w:rPr>
          <w:lang w:val="en-AU"/>
        </w:rPr>
        <w:t xml:space="preserve">members of </w:t>
      </w:r>
      <w:r w:rsidR="008B734E">
        <w:rPr>
          <w:lang w:val="en-AU"/>
        </w:rPr>
        <w:t xml:space="preserve">WPs from different countries </w:t>
      </w:r>
      <w:r w:rsidR="002002F1">
        <w:rPr>
          <w:lang w:val="en-AU"/>
        </w:rPr>
        <w:t xml:space="preserve">with different legal backgrounds </w:t>
      </w:r>
      <w:r w:rsidR="00C660AF">
        <w:rPr>
          <w:lang w:val="en-AU"/>
        </w:rPr>
        <w:t xml:space="preserve">in </w:t>
      </w:r>
      <w:r w:rsidR="008B734E">
        <w:rPr>
          <w:lang w:val="en-AU"/>
        </w:rPr>
        <w:t xml:space="preserve">arranging </w:t>
      </w:r>
      <w:r w:rsidR="002002F1">
        <w:rPr>
          <w:lang w:val="en-AU"/>
        </w:rPr>
        <w:t xml:space="preserve">to </w:t>
      </w:r>
      <w:r w:rsidR="008B734E">
        <w:rPr>
          <w:lang w:val="en-AU"/>
        </w:rPr>
        <w:t>meet</w:t>
      </w:r>
      <w:r w:rsidR="00392704">
        <w:rPr>
          <w:lang w:val="en-AU"/>
        </w:rPr>
        <w:t>,</w:t>
      </w:r>
      <w:r w:rsidR="008B734E">
        <w:rPr>
          <w:lang w:val="en-AU"/>
        </w:rPr>
        <w:t xml:space="preserve"> and then understanding each other </w:t>
      </w:r>
      <w:r w:rsidR="00392704">
        <w:rPr>
          <w:lang w:val="en-AU"/>
        </w:rPr>
        <w:t>when they did meet, and even having a common language</w:t>
      </w:r>
      <w:r w:rsidR="00AB431D">
        <w:rPr>
          <w:lang w:val="en-AU"/>
        </w:rPr>
        <w:t xml:space="preserve"> for </w:t>
      </w:r>
      <w:r w:rsidR="00726BD1">
        <w:rPr>
          <w:lang w:val="en-AU"/>
        </w:rPr>
        <w:t>communication</w:t>
      </w:r>
      <w:r w:rsidR="00392704">
        <w:rPr>
          <w:lang w:val="en-AU"/>
        </w:rPr>
        <w:t xml:space="preserve">, </w:t>
      </w:r>
      <w:r w:rsidR="008B734E">
        <w:rPr>
          <w:lang w:val="en-AU"/>
        </w:rPr>
        <w:t>should not be underestimated.</w:t>
      </w:r>
      <w:r w:rsidR="008B734E">
        <w:rPr>
          <w:rStyle w:val="FootnoteReference"/>
          <w:lang w:val="en-AU"/>
        </w:rPr>
        <w:footnoteReference w:id="30"/>
      </w:r>
      <w:r w:rsidR="008B734E">
        <w:rPr>
          <w:lang w:val="en-AU"/>
        </w:rPr>
        <w:t xml:space="preserve"> </w:t>
      </w:r>
      <w:r w:rsidRPr="004030F4">
        <w:rPr>
          <w:lang w:val="en-AU"/>
        </w:rPr>
        <w:t>A</w:t>
      </w:r>
      <w:r w:rsidR="00F65AAF">
        <w:rPr>
          <w:lang w:val="en-AU"/>
        </w:rPr>
        <w:t>fter 1957</w:t>
      </w:r>
      <w:r w:rsidR="0008447E">
        <w:rPr>
          <w:lang w:val="en-AU"/>
        </w:rPr>
        <w:t xml:space="preserve"> a</w:t>
      </w:r>
      <w:r w:rsidRPr="004030F4">
        <w:rPr>
          <w:lang w:val="en-AU"/>
        </w:rPr>
        <w:t xml:space="preserve">ll </w:t>
      </w:r>
      <w:proofErr w:type="spellStart"/>
      <w:r w:rsidR="002002F1">
        <w:rPr>
          <w:lang w:val="en-AU"/>
        </w:rPr>
        <w:t>OEEC</w:t>
      </w:r>
      <w:proofErr w:type="spellEnd"/>
      <w:r w:rsidR="002002F1">
        <w:rPr>
          <w:lang w:val="en-AU"/>
        </w:rPr>
        <w:t xml:space="preserve"> </w:t>
      </w:r>
      <w:r w:rsidRPr="004030F4">
        <w:rPr>
          <w:lang w:val="en-AU"/>
        </w:rPr>
        <w:t>delegates met regularly some 4</w:t>
      </w:r>
      <w:r w:rsidR="00DE6E32">
        <w:rPr>
          <w:lang w:val="en-AU"/>
        </w:rPr>
        <w:t xml:space="preserve"> to </w:t>
      </w:r>
      <w:r w:rsidRPr="004030F4">
        <w:rPr>
          <w:lang w:val="en-AU"/>
        </w:rPr>
        <w:t xml:space="preserve">6 times a year </w:t>
      </w:r>
      <w:r w:rsidRPr="004030F4">
        <w:rPr>
          <w:lang w:val="en-AU"/>
        </w:rPr>
        <w:lastRenderedPageBreak/>
        <w:t>for 2</w:t>
      </w:r>
      <w:r>
        <w:rPr>
          <w:lang w:val="en-AU"/>
        </w:rPr>
        <w:t xml:space="preserve"> to </w:t>
      </w:r>
      <w:r w:rsidRPr="004030F4">
        <w:rPr>
          <w:lang w:val="en-AU"/>
        </w:rPr>
        <w:t xml:space="preserve">4 day meetings of the </w:t>
      </w:r>
      <w:r w:rsidR="00DD101F">
        <w:rPr>
          <w:lang w:val="en-AU"/>
        </w:rPr>
        <w:t xml:space="preserve">FC </w:t>
      </w:r>
      <w:r w:rsidRPr="004030F4">
        <w:rPr>
          <w:lang w:val="en-AU"/>
        </w:rPr>
        <w:t xml:space="preserve">over a period of 5 years to produce the four reports </w:t>
      </w:r>
      <w:r w:rsidR="00F55C19" w:rsidRPr="004030F4">
        <w:rPr>
          <w:lang w:val="en-AU"/>
        </w:rPr>
        <w:t xml:space="preserve">(May 1956 to June 1961) </w:t>
      </w:r>
      <w:r w:rsidRPr="004030F4">
        <w:rPr>
          <w:lang w:val="en-AU"/>
        </w:rPr>
        <w:t xml:space="preserve">and </w:t>
      </w:r>
      <w:r w:rsidR="00F55C19">
        <w:rPr>
          <w:lang w:val="en-AU"/>
        </w:rPr>
        <w:t xml:space="preserve">7 years for </w:t>
      </w:r>
      <w:r w:rsidRPr="004030F4">
        <w:rPr>
          <w:lang w:val="en-AU"/>
        </w:rPr>
        <w:t xml:space="preserve">the </w:t>
      </w:r>
      <w:r w:rsidR="00110296">
        <w:rPr>
          <w:lang w:val="en-AU"/>
        </w:rPr>
        <w:t>1963 D</w:t>
      </w:r>
      <w:r w:rsidRPr="004030F4">
        <w:rPr>
          <w:lang w:val="en-AU"/>
        </w:rPr>
        <w:t>raft. The delegates for some countries changed fairly often. In the modern world this sound</w:t>
      </w:r>
      <w:r w:rsidR="00110296">
        <w:rPr>
          <w:lang w:val="en-AU"/>
        </w:rPr>
        <w:t>s</w:t>
      </w:r>
      <w:r w:rsidRPr="004030F4">
        <w:rPr>
          <w:lang w:val="en-AU"/>
        </w:rPr>
        <w:t xml:space="preserve"> like an enormous amount of time spent in meetings but it should be noted that meetings were in English and French with consecutive translation</w:t>
      </w:r>
      <w:r>
        <w:rPr>
          <w:lang w:val="en-AU"/>
        </w:rPr>
        <w:t>.</w:t>
      </w:r>
      <w:r>
        <w:rPr>
          <w:rStyle w:val="FootnoteReference"/>
          <w:lang w:val="en-AU"/>
        </w:rPr>
        <w:footnoteReference w:id="31"/>
      </w:r>
      <w:r>
        <w:rPr>
          <w:lang w:val="en-AU"/>
        </w:rPr>
        <w:t xml:space="preserve"> </w:t>
      </w:r>
      <w:r w:rsidRPr="004030F4">
        <w:rPr>
          <w:lang w:val="en-AU"/>
        </w:rPr>
        <w:t xml:space="preserve"> </w:t>
      </w:r>
    </w:p>
    <w:p w14:paraId="6A6DE6C0" w14:textId="031ACD4D" w:rsidR="004030F4" w:rsidRPr="004030F4" w:rsidRDefault="004030F4" w:rsidP="004030F4">
      <w:pPr>
        <w:pStyle w:val="BodyText"/>
        <w:rPr>
          <w:lang w:val="en-AU"/>
        </w:rPr>
      </w:pPr>
      <w:r w:rsidRPr="004030F4">
        <w:rPr>
          <w:lang w:val="en-AU"/>
        </w:rPr>
        <w:t xml:space="preserve">The Chair throughout this period was van den </w:t>
      </w:r>
      <w:proofErr w:type="spellStart"/>
      <w:r w:rsidRPr="004030F4">
        <w:rPr>
          <w:lang w:val="en-AU"/>
        </w:rPr>
        <w:t>Tempel</w:t>
      </w:r>
      <w:proofErr w:type="spellEnd"/>
      <w:r w:rsidRPr="004030F4">
        <w:rPr>
          <w:lang w:val="en-AU"/>
        </w:rPr>
        <w:t xml:space="preserve"> (Netherlands) but he was unable to attend meetings for one critical year due to ill health (July 1959 to August 1960</w:t>
      </w:r>
      <w:r w:rsidR="00391FAB">
        <w:rPr>
          <w:lang w:val="en-AU"/>
        </w:rPr>
        <w:t xml:space="preserve"> when the Third Report was prepared</w:t>
      </w:r>
      <w:r w:rsidRPr="004030F4">
        <w:rPr>
          <w:lang w:val="en-AU"/>
        </w:rPr>
        <w:t xml:space="preserve">) when he was replaced by </w:t>
      </w:r>
      <w:proofErr w:type="spellStart"/>
      <w:r w:rsidRPr="004030F4">
        <w:rPr>
          <w:lang w:val="en-AU"/>
        </w:rPr>
        <w:t>Locher</w:t>
      </w:r>
      <w:proofErr w:type="spellEnd"/>
      <w:r w:rsidRPr="004030F4">
        <w:rPr>
          <w:lang w:val="en-AU"/>
        </w:rPr>
        <w:t xml:space="preserve"> (Switzerland) who seems to have been the one of the few persons to attend nearly all FC meetings in the period</w:t>
      </w:r>
      <w:r w:rsidR="00AB5C81">
        <w:rPr>
          <w:rStyle w:val="FootnoteReference"/>
          <w:lang w:val="en-AU"/>
        </w:rPr>
        <w:footnoteReference w:id="32"/>
      </w:r>
      <w:r w:rsidRPr="004030F4">
        <w:rPr>
          <w:lang w:val="en-AU"/>
        </w:rPr>
        <w:t>; Switzerland</w:t>
      </w:r>
      <w:r w:rsidR="0024630A">
        <w:rPr>
          <w:lang w:val="en-AU"/>
        </w:rPr>
        <w:t>, which had needed to resolve all the same problems between Cantons which were the primary taxing jurisdictions,</w:t>
      </w:r>
      <w:r w:rsidRPr="004030F4">
        <w:rPr>
          <w:lang w:val="en-AU"/>
        </w:rPr>
        <w:t xml:space="preserve"> was perhaps the most active country in making proposals and influencing outcomes and </w:t>
      </w:r>
      <w:proofErr w:type="spellStart"/>
      <w:r w:rsidRPr="004030F4">
        <w:rPr>
          <w:lang w:val="en-AU"/>
        </w:rPr>
        <w:t>Locher</w:t>
      </w:r>
      <w:proofErr w:type="spellEnd"/>
      <w:r w:rsidRPr="004030F4">
        <w:rPr>
          <w:lang w:val="en-AU"/>
        </w:rPr>
        <w:t xml:space="preserve"> was also a third Vice-chair 1960 onwards and Acting Chair in 1960-1961. Another important delegate is </w:t>
      </w:r>
      <w:proofErr w:type="spellStart"/>
      <w:r w:rsidR="00E966D8">
        <w:rPr>
          <w:lang w:val="en-AU"/>
        </w:rPr>
        <w:t>Ö</w:t>
      </w:r>
      <w:r w:rsidRPr="004030F4">
        <w:rPr>
          <w:lang w:val="en-AU"/>
        </w:rPr>
        <w:t>hman</w:t>
      </w:r>
      <w:proofErr w:type="spellEnd"/>
      <w:r w:rsidRPr="004030F4">
        <w:rPr>
          <w:lang w:val="en-AU"/>
        </w:rPr>
        <w:t xml:space="preserve"> (Sweden) who attended nearly all meetings, held one of the FC Vice-chair positions throughout this period (</w:t>
      </w:r>
      <w:r w:rsidR="00391FAB">
        <w:rPr>
          <w:lang w:val="en-AU"/>
        </w:rPr>
        <w:t xml:space="preserve">there were </w:t>
      </w:r>
      <w:r w:rsidRPr="004030F4">
        <w:rPr>
          <w:lang w:val="en-AU"/>
        </w:rPr>
        <w:t xml:space="preserve">two positions until van den </w:t>
      </w:r>
      <w:proofErr w:type="spellStart"/>
      <w:r w:rsidRPr="004030F4">
        <w:rPr>
          <w:lang w:val="en-AU"/>
        </w:rPr>
        <w:t>Temp</w:t>
      </w:r>
      <w:r w:rsidR="00E966D8">
        <w:rPr>
          <w:lang w:val="en-AU"/>
        </w:rPr>
        <w:t>el</w:t>
      </w:r>
      <w:proofErr w:type="spellEnd"/>
      <w:r w:rsidRPr="004030F4">
        <w:rPr>
          <w:lang w:val="en-AU"/>
        </w:rPr>
        <w:t xml:space="preserve"> took leave and three thereafter with </w:t>
      </w:r>
      <w:proofErr w:type="spellStart"/>
      <w:r w:rsidRPr="004030F4">
        <w:rPr>
          <w:lang w:val="en-AU"/>
        </w:rPr>
        <w:t>Locher</w:t>
      </w:r>
      <w:proofErr w:type="spellEnd"/>
      <w:r w:rsidRPr="004030F4">
        <w:rPr>
          <w:lang w:val="en-AU"/>
        </w:rPr>
        <w:t xml:space="preserve"> being the third)</w:t>
      </w:r>
      <w:r w:rsidR="00475248">
        <w:rPr>
          <w:lang w:val="en-AU"/>
        </w:rPr>
        <w:t>.</w:t>
      </w:r>
      <w:r w:rsidR="00475248">
        <w:rPr>
          <w:rStyle w:val="FootnoteReference"/>
          <w:lang w:val="en-AU"/>
        </w:rPr>
        <w:footnoteReference w:id="33"/>
      </w:r>
      <w:r w:rsidRPr="004030F4">
        <w:rPr>
          <w:lang w:val="en-AU"/>
        </w:rPr>
        <w:t xml:space="preserve"> Gilmer was the Secretary throughout the period and seems to have been very proactive in the process. </w:t>
      </w:r>
      <w:proofErr w:type="spellStart"/>
      <w:r w:rsidRPr="004030F4">
        <w:rPr>
          <w:lang w:val="en-AU"/>
        </w:rPr>
        <w:t>Edelmann</w:t>
      </w:r>
      <w:proofErr w:type="spellEnd"/>
      <w:r w:rsidRPr="004030F4">
        <w:rPr>
          <w:lang w:val="en-AU"/>
        </w:rPr>
        <w:t xml:space="preserve"> joined him in the Secretariat early in 1962. The great powers in the </w:t>
      </w:r>
      <w:proofErr w:type="spellStart"/>
      <w:r w:rsidRPr="004030F4">
        <w:rPr>
          <w:lang w:val="en-AU"/>
        </w:rPr>
        <w:t>OEEC</w:t>
      </w:r>
      <w:proofErr w:type="spellEnd"/>
      <w:r w:rsidRPr="004030F4">
        <w:rPr>
          <w:lang w:val="en-AU"/>
        </w:rPr>
        <w:t xml:space="preserve"> were France, Germany and the UK. While the US only joined when the OECD was created </w:t>
      </w:r>
      <w:r w:rsidR="00DE6E32">
        <w:rPr>
          <w:lang w:val="en-AU"/>
        </w:rPr>
        <w:t xml:space="preserve">in September 1961 </w:t>
      </w:r>
      <w:r w:rsidRPr="004030F4">
        <w:rPr>
          <w:lang w:val="en-AU"/>
        </w:rPr>
        <w:t xml:space="preserve">it had </w:t>
      </w:r>
      <w:r w:rsidR="00E966D8">
        <w:rPr>
          <w:lang w:val="en-AU"/>
        </w:rPr>
        <w:t>associate</w:t>
      </w:r>
      <w:r w:rsidRPr="004030F4">
        <w:rPr>
          <w:lang w:val="en-AU"/>
        </w:rPr>
        <w:t xml:space="preserve"> status before that but was not active until it was a member</w:t>
      </w:r>
      <w:r w:rsidR="00DF725D">
        <w:rPr>
          <w:lang w:val="en-AU"/>
        </w:rPr>
        <w:t xml:space="preserve"> by which time it was too late to influence most of the work as the 1963 Draft was almost complete</w:t>
      </w:r>
      <w:r w:rsidRPr="004030F4">
        <w:rPr>
          <w:lang w:val="en-AU"/>
        </w:rPr>
        <w:t xml:space="preserve">. </w:t>
      </w:r>
    </w:p>
    <w:p w14:paraId="76EDA042" w14:textId="5162712F" w:rsidR="004030F4" w:rsidRPr="004030F4" w:rsidRDefault="004030F4" w:rsidP="004030F4">
      <w:pPr>
        <w:pStyle w:val="BodyText"/>
        <w:rPr>
          <w:lang w:val="en-AU"/>
        </w:rPr>
      </w:pPr>
      <w:r w:rsidRPr="004030F4">
        <w:rPr>
          <w:lang w:val="en-AU"/>
        </w:rPr>
        <w:t xml:space="preserve">Obviously such a large undertaking required a degree of coordination and </w:t>
      </w:r>
      <w:r w:rsidR="00110296">
        <w:rPr>
          <w:lang w:val="en-AU"/>
        </w:rPr>
        <w:t>this</w:t>
      </w:r>
      <w:r w:rsidRPr="004030F4">
        <w:rPr>
          <w:lang w:val="en-AU"/>
        </w:rPr>
        <w:t xml:space="preserve"> was partly driven by the persons and countries just referred to but normally one would expect institutional mechanisms to ensure oversight, continuity and coordination. Three possibilities in this case</w:t>
      </w:r>
      <w:r w:rsidR="004063B1">
        <w:rPr>
          <w:lang w:val="en-AU"/>
        </w:rPr>
        <w:t>, apart from the FC,</w:t>
      </w:r>
      <w:r w:rsidRPr="004030F4">
        <w:rPr>
          <w:lang w:val="en-AU"/>
        </w:rPr>
        <w:t xml:space="preserve"> are the Drafting Group</w:t>
      </w:r>
      <w:r w:rsidR="00AB431D">
        <w:rPr>
          <w:lang w:val="en-AU"/>
        </w:rPr>
        <w:t>;</w:t>
      </w:r>
      <w:r w:rsidRPr="004030F4">
        <w:rPr>
          <w:lang w:val="en-AU"/>
        </w:rPr>
        <w:t xml:space="preserve"> </w:t>
      </w:r>
      <w:proofErr w:type="spellStart"/>
      <w:r w:rsidRPr="004030F4">
        <w:rPr>
          <w:lang w:val="en-AU"/>
        </w:rPr>
        <w:t>WP14</w:t>
      </w:r>
      <w:proofErr w:type="spellEnd"/>
      <w:r w:rsidRPr="004030F4">
        <w:rPr>
          <w:lang w:val="en-AU"/>
        </w:rPr>
        <w:t xml:space="preserve"> (which at one point was tasked with the structure of the treaty and had several structural elements within its remit)</w:t>
      </w:r>
      <w:r w:rsidR="00AB431D">
        <w:rPr>
          <w:lang w:val="en-AU"/>
        </w:rPr>
        <w:t>;</w:t>
      </w:r>
      <w:r w:rsidRPr="004030F4">
        <w:rPr>
          <w:lang w:val="en-AU"/>
        </w:rPr>
        <w:t xml:space="preserve"> and (least likely) </w:t>
      </w:r>
      <w:proofErr w:type="spellStart"/>
      <w:r w:rsidRPr="004030F4">
        <w:rPr>
          <w:lang w:val="en-AU"/>
        </w:rPr>
        <w:t>WP15</w:t>
      </w:r>
      <w:proofErr w:type="spellEnd"/>
      <w:r w:rsidRPr="004030F4">
        <w:rPr>
          <w:lang w:val="en-AU"/>
        </w:rPr>
        <w:t xml:space="preserve"> on avoidance of double taxation, the substantive treaty article which has interactions with most other substantive articles.</w:t>
      </w:r>
      <w:r w:rsidR="00184A5B">
        <w:rPr>
          <w:lang w:val="en-AU"/>
        </w:rPr>
        <w:t xml:space="preserve"> We shall examine the </w:t>
      </w:r>
      <w:r w:rsidR="00FF630E">
        <w:rPr>
          <w:lang w:val="en-AU"/>
        </w:rPr>
        <w:t xml:space="preserve">coordinating </w:t>
      </w:r>
      <w:r w:rsidR="00184A5B">
        <w:rPr>
          <w:lang w:val="en-AU"/>
        </w:rPr>
        <w:t>role of each of these</w:t>
      </w:r>
      <w:r w:rsidR="00BA09A4">
        <w:rPr>
          <w:lang w:val="en-AU"/>
        </w:rPr>
        <w:t>,</w:t>
      </w:r>
      <w:r w:rsidR="00686B8E">
        <w:rPr>
          <w:lang w:val="en-AU"/>
        </w:rPr>
        <w:t xml:space="preserve"> and also </w:t>
      </w:r>
      <w:proofErr w:type="spellStart"/>
      <w:r w:rsidR="00686B8E">
        <w:rPr>
          <w:lang w:val="en-AU"/>
        </w:rPr>
        <w:t>WP2</w:t>
      </w:r>
      <w:proofErr w:type="spellEnd"/>
      <w:r w:rsidR="00686B8E">
        <w:rPr>
          <w:lang w:val="en-AU"/>
        </w:rPr>
        <w:t xml:space="preserve"> (residence) which tried to deal with different </w:t>
      </w:r>
      <w:r w:rsidR="00BA09A4">
        <w:rPr>
          <w:lang w:val="en-AU"/>
        </w:rPr>
        <w:t xml:space="preserve">requirements for residence in </w:t>
      </w:r>
      <w:r w:rsidR="00686B8E">
        <w:rPr>
          <w:lang w:val="en-AU"/>
        </w:rPr>
        <w:t>other articles but were prevented from doing so by the FC</w:t>
      </w:r>
      <w:r w:rsidR="00184A5B">
        <w:rPr>
          <w:lang w:val="en-AU"/>
        </w:rPr>
        <w:t>.</w:t>
      </w:r>
      <w:r w:rsidRPr="004030F4">
        <w:rPr>
          <w:lang w:val="en-AU"/>
        </w:rPr>
        <w:t xml:space="preserve"> </w:t>
      </w:r>
    </w:p>
    <w:p w14:paraId="1529E8C2" w14:textId="614E4824" w:rsidR="004030F4" w:rsidRPr="004030F4" w:rsidRDefault="00280664" w:rsidP="00280664">
      <w:pPr>
        <w:pStyle w:val="Heading4"/>
        <w:rPr>
          <w:lang w:val="en-AU"/>
        </w:rPr>
      </w:pPr>
      <w:r>
        <w:rPr>
          <w:lang w:val="en-AU"/>
        </w:rPr>
        <w:lastRenderedPageBreak/>
        <w:t>The Drafting Group</w:t>
      </w:r>
    </w:p>
    <w:p w14:paraId="5A04CB33" w14:textId="7F5156EC" w:rsidR="004030F4" w:rsidRPr="004030F4" w:rsidRDefault="005C29CB" w:rsidP="00081DB9">
      <w:pPr>
        <w:pStyle w:val="BodyText"/>
        <w:rPr>
          <w:lang w:val="en-AU"/>
        </w:rPr>
      </w:pPr>
      <w:r>
        <w:rPr>
          <w:lang w:val="en-AU"/>
        </w:rPr>
        <w:t>T</w:t>
      </w:r>
      <w:r w:rsidRPr="004030F4">
        <w:rPr>
          <w:lang w:val="en-AU"/>
        </w:rPr>
        <w:t xml:space="preserve">he Drafting Group </w:t>
      </w:r>
      <w:r>
        <w:rPr>
          <w:lang w:val="en-AU"/>
        </w:rPr>
        <w:t>was created a</w:t>
      </w:r>
      <w:r w:rsidR="004030F4" w:rsidRPr="004030F4">
        <w:rPr>
          <w:lang w:val="en-AU"/>
        </w:rPr>
        <w:t xml:space="preserve">t the end of the last meeting </w:t>
      </w:r>
      <w:r>
        <w:rPr>
          <w:lang w:val="en-AU"/>
        </w:rPr>
        <w:t xml:space="preserve">in </w:t>
      </w:r>
      <w:r w:rsidRPr="004030F4">
        <w:rPr>
          <w:lang w:val="en-AU"/>
        </w:rPr>
        <w:t>1957</w:t>
      </w:r>
      <w:r w:rsidR="004030F4" w:rsidRPr="004030F4">
        <w:rPr>
          <w:lang w:val="en-AU"/>
        </w:rPr>
        <w:t>:</w:t>
      </w:r>
      <w:r>
        <w:rPr>
          <w:rStyle w:val="FootnoteReference"/>
          <w:lang w:val="en-AU"/>
        </w:rPr>
        <w:footnoteReference w:id="34"/>
      </w:r>
    </w:p>
    <w:p w14:paraId="2D583D7B" w14:textId="49FC0B26" w:rsidR="004030F4" w:rsidRPr="004030F4" w:rsidRDefault="004030F4" w:rsidP="005C29CB">
      <w:pPr>
        <w:pStyle w:val="BodyTextIndent"/>
        <w:rPr>
          <w:lang w:val="en-AU"/>
        </w:rPr>
      </w:pPr>
      <w:r w:rsidRPr="004030F4">
        <w:rPr>
          <w:lang w:val="en-AU"/>
        </w:rPr>
        <w:t>The Chairman recalled that the Delegate for Sweden had proposed that a Drafting Group be set up to harmonise the various Draft Articles adopted separately by the Committee</w:t>
      </w:r>
      <w:r w:rsidR="00FF630E">
        <w:rPr>
          <w:lang w:val="en-AU"/>
        </w:rPr>
        <w:t>.</w:t>
      </w:r>
      <w:r w:rsidRPr="004030F4">
        <w:rPr>
          <w:lang w:val="en-AU"/>
        </w:rPr>
        <w:t xml:space="preserve"> The committee decided that this Group would be composed of the Chairman of the Committee, the Delegates for France, the United Kingdom and Germany and the Secretary of the Committee, and that it would meet as soon as all texts were available after the next Session.</w:t>
      </w:r>
    </w:p>
    <w:p w14:paraId="5641D571" w14:textId="41A982FE" w:rsidR="005C29CB" w:rsidRDefault="00020299" w:rsidP="005C29CB">
      <w:pPr>
        <w:pStyle w:val="BodyText"/>
        <w:rPr>
          <w:lang w:val="en-AU"/>
        </w:rPr>
      </w:pPr>
      <w:r>
        <w:rPr>
          <w:lang w:val="en-AU"/>
        </w:rPr>
        <w:t xml:space="preserve">This was therefore a high-powered group. </w:t>
      </w:r>
      <w:r w:rsidR="005C29CB" w:rsidRPr="004030F4">
        <w:rPr>
          <w:lang w:val="en-AU"/>
        </w:rPr>
        <w:t xml:space="preserve">Its membership was changed in relation to the </w:t>
      </w:r>
      <w:r w:rsidR="005C29CB" w:rsidRPr="00081DB9">
        <w:rPr>
          <w:lang w:val="en-AU"/>
        </w:rPr>
        <w:t>third and fourth</w:t>
      </w:r>
      <w:r w:rsidR="005C29CB" w:rsidRPr="004030F4">
        <w:rPr>
          <w:lang w:val="en-AU"/>
        </w:rPr>
        <w:t xml:space="preserve"> </w:t>
      </w:r>
      <w:proofErr w:type="spellStart"/>
      <w:r w:rsidR="005C29CB" w:rsidRPr="004030F4">
        <w:rPr>
          <w:lang w:val="en-AU"/>
        </w:rPr>
        <w:t>OEEC</w:t>
      </w:r>
      <w:proofErr w:type="spellEnd"/>
      <w:r w:rsidR="005C29CB" w:rsidRPr="004030F4">
        <w:rPr>
          <w:lang w:val="en-AU"/>
        </w:rPr>
        <w:t xml:space="preserve"> reports to include the Vice-chairs.</w:t>
      </w:r>
      <w:bookmarkStart w:id="3" w:name="_Ref66434123"/>
      <w:r w:rsidR="005C29CB">
        <w:rPr>
          <w:rStyle w:val="FootnoteReference"/>
          <w:lang w:val="en-AU"/>
        </w:rPr>
        <w:footnoteReference w:id="35"/>
      </w:r>
      <w:bookmarkEnd w:id="3"/>
      <w:r w:rsidR="005C29CB" w:rsidRPr="004030F4">
        <w:rPr>
          <w:lang w:val="en-AU"/>
        </w:rPr>
        <w:t xml:space="preserve"> </w:t>
      </w:r>
      <w:r w:rsidR="00500E13">
        <w:rPr>
          <w:lang w:val="en-AU"/>
        </w:rPr>
        <w:t xml:space="preserve">Later for the preparation of the 1963 Draft </w:t>
      </w:r>
      <w:r w:rsidR="00E2301D">
        <w:rPr>
          <w:lang w:val="en-AU"/>
        </w:rPr>
        <w:t>t</w:t>
      </w:r>
      <w:r w:rsidR="005C29CB" w:rsidRPr="00531A9A">
        <w:rPr>
          <w:lang w:val="en-AU"/>
        </w:rPr>
        <w:t xml:space="preserve">he Chair proposed that </w:t>
      </w:r>
      <w:r w:rsidR="005C29CB">
        <w:rPr>
          <w:lang w:val="en-AU"/>
        </w:rPr>
        <w:t>‘</w:t>
      </w:r>
      <w:r w:rsidR="005C29CB" w:rsidRPr="00531A9A">
        <w:rPr>
          <w:lang w:val="en-AU"/>
        </w:rPr>
        <w:t xml:space="preserve">the Drafting Group should be </w:t>
      </w:r>
      <w:r w:rsidR="005C29CB" w:rsidRPr="00E2301D">
        <w:rPr>
          <w:lang w:val="en-AU"/>
        </w:rPr>
        <w:t>enlarged</w:t>
      </w:r>
      <w:r w:rsidR="005C29CB" w:rsidRPr="005C29CB">
        <w:rPr>
          <w:lang w:val="en-AU"/>
        </w:rPr>
        <w:t xml:space="preserve"> so as to include the Delegates for Sweden and Switzerland, in their capacity as Vice-Chairmen of the Committee</w:t>
      </w:r>
      <w:r w:rsidR="005C29CB" w:rsidRPr="00531A9A">
        <w:rPr>
          <w:lang w:val="en-AU"/>
        </w:rPr>
        <w:t>.</w:t>
      </w:r>
      <w:r w:rsidR="005C29CB">
        <w:rPr>
          <w:lang w:val="en-AU"/>
        </w:rPr>
        <w:t>’</w:t>
      </w:r>
      <w:r w:rsidR="005C29CB">
        <w:rPr>
          <w:rStyle w:val="FootnoteReference"/>
          <w:lang w:val="en-AU"/>
        </w:rPr>
        <w:footnoteReference w:id="36"/>
      </w:r>
      <w:r w:rsidR="005C29CB" w:rsidRPr="00531A9A">
        <w:rPr>
          <w:lang w:val="en-AU"/>
        </w:rPr>
        <w:t xml:space="preserve"> </w:t>
      </w:r>
      <w:r w:rsidR="005C29CB">
        <w:rPr>
          <w:lang w:val="en-AU"/>
        </w:rPr>
        <w:t xml:space="preserve">This seems </w:t>
      </w:r>
      <w:r w:rsidR="005C29CB" w:rsidRPr="00531A9A">
        <w:rPr>
          <w:lang w:val="en-AU"/>
        </w:rPr>
        <w:t xml:space="preserve">to suggest that structural issues and overall coherence were the province of the Drafting Group. </w:t>
      </w:r>
    </w:p>
    <w:p w14:paraId="19EF9A67" w14:textId="77777777" w:rsidR="005C29CB" w:rsidRDefault="005C29CB" w:rsidP="005C29CB">
      <w:pPr>
        <w:pStyle w:val="BodyText"/>
        <w:rPr>
          <w:lang w:val="en-AU"/>
        </w:rPr>
      </w:pPr>
      <w:r w:rsidRPr="004030F4">
        <w:rPr>
          <w:lang w:val="en-AU"/>
        </w:rPr>
        <w:t xml:space="preserve">There are only </w:t>
      </w:r>
      <w:r w:rsidRPr="000D3CE2">
        <w:rPr>
          <w:lang w:val="en-AU"/>
        </w:rPr>
        <w:t>four</w:t>
      </w:r>
      <w:r>
        <w:rPr>
          <w:lang w:val="en-AU"/>
        </w:rPr>
        <w:t xml:space="preserve"> </w:t>
      </w:r>
      <w:r w:rsidRPr="004030F4">
        <w:rPr>
          <w:lang w:val="en-AU"/>
        </w:rPr>
        <w:t xml:space="preserve">reports of the Drafting Group during the period in which the four </w:t>
      </w:r>
      <w:proofErr w:type="spellStart"/>
      <w:r w:rsidRPr="004030F4">
        <w:rPr>
          <w:lang w:val="en-AU"/>
        </w:rPr>
        <w:t>OEEC</w:t>
      </w:r>
      <w:proofErr w:type="spellEnd"/>
      <w:r w:rsidRPr="004030F4">
        <w:rPr>
          <w:lang w:val="en-AU"/>
        </w:rPr>
        <w:t xml:space="preserve"> reports were produced,</w:t>
      </w:r>
      <w:r>
        <w:rPr>
          <w:rStyle w:val="FootnoteReference"/>
          <w:lang w:val="en-AU"/>
        </w:rPr>
        <w:footnoteReference w:id="37"/>
      </w:r>
      <w:r w:rsidRPr="004030F4">
        <w:rPr>
          <w:lang w:val="en-AU"/>
        </w:rPr>
        <w:t xml:space="preserve"> relating to the first and second </w:t>
      </w:r>
      <w:proofErr w:type="spellStart"/>
      <w:r w:rsidRPr="004030F4">
        <w:rPr>
          <w:lang w:val="en-AU"/>
        </w:rPr>
        <w:t>OEEC</w:t>
      </w:r>
      <w:proofErr w:type="spellEnd"/>
      <w:r w:rsidRPr="004030F4">
        <w:rPr>
          <w:lang w:val="en-AU"/>
        </w:rPr>
        <w:t xml:space="preserve"> reports though it is mentioned several times in relation to the preparation of the four reports. </w:t>
      </w:r>
    </w:p>
    <w:p w14:paraId="549F134C" w14:textId="10A9AB04" w:rsidR="005C29CB" w:rsidRDefault="005C29CB" w:rsidP="005C29CB">
      <w:pPr>
        <w:pStyle w:val="BodyText"/>
      </w:pPr>
      <w:r>
        <w:t>The Third Report went through various stages including the Drafting Group emerging as the draft ‘</w:t>
      </w:r>
      <w:r w:rsidRPr="00EA3A4E">
        <w:t>prepared by the Secretariat in agreement with the Drafting Group of the Fiscal Committee</w:t>
      </w:r>
      <w:r>
        <w:t>’ that was submitted to the FC for adoption, and adopted by the FC taking into account written amendments proposed by three delegations, of which there is no record, and other unspecified oral amendments made at the meeting.</w:t>
      </w:r>
      <w:r>
        <w:rPr>
          <w:rStyle w:val="FootnoteReference"/>
        </w:rPr>
        <w:footnoteReference w:id="38"/>
      </w:r>
      <w:r>
        <w:t xml:space="preserve"> </w:t>
      </w:r>
    </w:p>
    <w:p w14:paraId="2C6C8A5E" w14:textId="3C062DED" w:rsidR="0079586B" w:rsidRPr="0049152C" w:rsidRDefault="0079586B" w:rsidP="0079586B">
      <w:pPr>
        <w:pStyle w:val="BodyText"/>
        <w:rPr>
          <w:lang w:val="en-AU"/>
        </w:rPr>
      </w:pPr>
      <w:r>
        <w:t>The Fourth Report went through a similar procedure, being drafted by the Secretariat and passed to the Drafting Committee before submission to the FC for approval.</w:t>
      </w:r>
      <w:r>
        <w:rPr>
          <w:rStyle w:val="FootnoteReference"/>
        </w:rPr>
        <w:footnoteReference w:id="39"/>
      </w:r>
      <w:r w:rsidRPr="001D55EA">
        <w:t xml:space="preserve"> </w:t>
      </w:r>
      <w:r>
        <w:t xml:space="preserve">Minor </w:t>
      </w:r>
      <w:r>
        <w:lastRenderedPageBreak/>
        <w:t xml:space="preserve">amendments to the </w:t>
      </w:r>
      <w:r w:rsidR="000C1296">
        <w:t xml:space="preserve">double taxation </w:t>
      </w:r>
      <w:r>
        <w:t>relief article continued in later meetings leading up to the Fourth Report.</w:t>
      </w:r>
      <w:r>
        <w:rPr>
          <w:rStyle w:val="FootnoteReference"/>
        </w:rPr>
        <w:footnoteReference w:id="40"/>
      </w:r>
      <w:r>
        <w:t xml:space="preserve"> These included that the</w:t>
      </w:r>
      <w:r w:rsidRPr="0049152C">
        <w:rPr>
          <w:lang w:val="en-AU"/>
        </w:rPr>
        <w:t xml:space="preserve"> general part of the report describing in para 25 th</w:t>
      </w:r>
      <w:r w:rsidR="00317ABA">
        <w:rPr>
          <w:lang w:val="en-AU"/>
        </w:rPr>
        <w:t>at art 23</w:t>
      </w:r>
      <w:r w:rsidRPr="0049152C">
        <w:rPr>
          <w:lang w:val="en-AU"/>
        </w:rPr>
        <w:t xml:space="preserve"> </w:t>
      </w:r>
      <w:r w:rsidR="00317ABA">
        <w:rPr>
          <w:lang w:val="en-AU"/>
        </w:rPr>
        <w:t>(</w:t>
      </w:r>
      <w:r w:rsidR="000C1296">
        <w:rPr>
          <w:lang w:val="en-AU"/>
        </w:rPr>
        <w:t>the relief article—</w:t>
      </w:r>
      <w:r w:rsidR="00317ABA">
        <w:rPr>
          <w:lang w:val="en-AU"/>
        </w:rPr>
        <w:t xml:space="preserve">for ease of understanding we shall refer to articles by their number in the 1963 Draft although initially they had differing numbering) </w:t>
      </w:r>
      <w:r w:rsidRPr="0049152C">
        <w:rPr>
          <w:lang w:val="en-AU"/>
        </w:rPr>
        <w:t>was changed to reflect more accurately the way relief works in credit cases but as published still contains the European/exemption way of thinking that the source state has the exclusive righ</w:t>
      </w:r>
      <w:r>
        <w:rPr>
          <w:lang w:val="en-AU"/>
        </w:rPr>
        <w:t>t</w:t>
      </w:r>
      <w:r w:rsidRPr="0049152C">
        <w:rPr>
          <w:lang w:val="en-AU"/>
        </w:rPr>
        <w:t xml:space="preserve"> to tax under distributive rules </w:t>
      </w:r>
      <w:proofErr w:type="spellStart"/>
      <w:r w:rsidRPr="0049152C">
        <w:rPr>
          <w:lang w:val="en-AU"/>
        </w:rPr>
        <w:t>eg</w:t>
      </w:r>
      <w:proofErr w:type="spellEnd"/>
      <w:r w:rsidRPr="0049152C">
        <w:rPr>
          <w:lang w:val="en-AU"/>
        </w:rPr>
        <w:t xml:space="preserve"> in the case of PEs and immovable property in contradistinction to cases where taxing rights are </w:t>
      </w:r>
      <w:r w:rsidR="000A5F96">
        <w:rPr>
          <w:lang w:val="en-AU"/>
        </w:rPr>
        <w:t>‘</w:t>
      </w:r>
      <w:r w:rsidRPr="0049152C">
        <w:rPr>
          <w:lang w:val="en-AU"/>
        </w:rPr>
        <w:t>shared</w:t>
      </w:r>
      <w:r w:rsidR="000A5F96">
        <w:rPr>
          <w:lang w:val="en-AU"/>
        </w:rPr>
        <w:t>’</w:t>
      </w:r>
      <w:r w:rsidRPr="0049152C">
        <w:rPr>
          <w:lang w:val="en-AU"/>
        </w:rPr>
        <w:t xml:space="preserve"> (dividends and interest), whereas in fact it is only in a few unusual cases under the distributive rules that the source state has the exclusive right to tax. Similarly para 29 was changed to give a better description of the limit on the credit method, again suggesting some lack of understanding of that method.</w:t>
      </w:r>
      <w:r>
        <w:rPr>
          <w:rStyle w:val="FootnoteReference"/>
          <w:lang w:val="en-AU"/>
        </w:rPr>
        <w:footnoteReference w:id="41"/>
      </w:r>
      <w:r w:rsidRPr="0049152C">
        <w:rPr>
          <w:lang w:val="en-AU"/>
        </w:rPr>
        <w:t xml:space="preserve"> Several changes were made to the articles and the commentaries, especially for arts 10-12</w:t>
      </w:r>
      <w:r w:rsidR="000C1296">
        <w:rPr>
          <w:lang w:val="en-AU"/>
        </w:rPr>
        <w:t xml:space="preserve"> (dividends, interest and royalties)</w:t>
      </w:r>
      <w:r w:rsidRPr="0049152C">
        <w:rPr>
          <w:lang w:val="en-AU"/>
        </w:rPr>
        <w:t xml:space="preserve">, to try to get uniformity of terminology and drafting. </w:t>
      </w:r>
    </w:p>
    <w:p w14:paraId="00A6916A" w14:textId="33A03DA7" w:rsidR="005C29CB" w:rsidRDefault="005C29CB" w:rsidP="00081DB9">
      <w:pPr>
        <w:pStyle w:val="BodyText"/>
        <w:rPr>
          <w:lang w:val="en-AU"/>
        </w:rPr>
      </w:pPr>
      <w:r w:rsidRPr="00531A9A">
        <w:rPr>
          <w:lang w:val="en-AU"/>
        </w:rPr>
        <w:t>Immediately following th</w:t>
      </w:r>
      <w:r>
        <w:rPr>
          <w:lang w:val="en-AU"/>
        </w:rPr>
        <w:t>e</w:t>
      </w:r>
      <w:r w:rsidRPr="00531A9A">
        <w:rPr>
          <w:lang w:val="en-AU"/>
        </w:rPr>
        <w:t xml:space="preserve"> approval</w:t>
      </w:r>
      <w:r>
        <w:rPr>
          <w:lang w:val="en-AU"/>
        </w:rPr>
        <w:t xml:space="preserve"> of the Fourth Report</w:t>
      </w:r>
      <w:r w:rsidRPr="00531A9A">
        <w:rPr>
          <w:lang w:val="en-AU"/>
        </w:rPr>
        <w:t>, the FC considered its future work program</w:t>
      </w:r>
      <w:r>
        <w:rPr>
          <w:lang w:val="en-AU"/>
        </w:rPr>
        <w:t>me</w:t>
      </w:r>
      <w:r w:rsidR="00A92DA0">
        <w:rPr>
          <w:lang w:val="en-AU"/>
        </w:rPr>
        <w:t>,</w:t>
      </w:r>
      <w:r w:rsidRPr="00531A9A">
        <w:rPr>
          <w:lang w:val="en-AU"/>
        </w:rPr>
        <w:t xml:space="preserve"> and Switzerland proposed that the Drafting Group work on structure and integrating the draft articles into a complete model. </w:t>
      </w:r>
    </w:p>
    <w:p w14:paraId="5F47E000" w14:textId="613B0E25" w:rsidR="0079586B" w:rsidRDefault="00E2301D" w:rsidP="004030F4">
      <w:pPr>
        <w:pStyle w:val="BodyText"/>
        <w:rPr>
          <w:lang w:val="en-AU"/>
        </w:rPr>
      </w:pPr>
      <w:r>
        <w:rPr>
          <w:lang w:val="en-AU"/>
        </w:rPr>
        <w:t xml:space="preserve">The Group </w:t>
      </w:r>
      <w:r w:rsidR="00F55C19">
        <w:rPr>
          <w:lang w:val="en-AU"/>
        </w:rPr>
        <w:t xml:space="preserve">had </w:t>
      </w:r>
      <w:r>
        <w:rPr>
          <w:lang w:val="en-AU"/>
        </w:rPr>
        <w:t xml:space="preserve">missed </w:t>
      </w:r>
      <w:r w:rsidR="00C15491">
        <w:rPr>
          <w:lang w:val="en-AU"/>
        </w:rPr>
        <w:t>an important</w:t>
      </w:r>
      <w:r>
        <w:rPr>
          <w:lang w:val="en-AU"/>
        </w:rPr>
        <w:t xml:space="preserve"> opportunit</w:t>
      </w:r>
      <w:r w:rsidR="00C15491">
        <w:rPr>
          <w:lang w:val="en-AU"/>
        </w:rPr>
        <w:t>y</w:t>
      </w:r>
      <w:r>
        <w:rPr>
          <w:lang w:val="en-AU"/>
        </w:rPr>
        <w:t xml:space="preserve"> for improving the structure</w:t>
      </w:r>
      <w:r w:rsidR="004A03E7">
        <w:rPr>
          <w:lang w:val="en-AU"/>
        </w:rPr>
        <w:t xml:space="preserve"> during the preparation for the Second Report</w:t>
      </w:r>
      <w:r>
        <w:rPr>
          <w:lang w:val="en-AU"/>
        </w:rPr>
        <w:t xml:space="preserve">. </w:t>
      </w:r>
      <w:r w:rsidR="00994E3C">
        <w:rPr>
          <w:lang w:val="en-AU"/>
        </w:rPr>
        <w:t>T</w:t>
      </w:r>
      <w:r>
        <w:rPr>
          <w:lang w:val="en-AU"/>
        </w:rPr>
        <w:t>he</w:t>
      </w:r>
      <w:r w:rsidR="005D1700">
        <w:rPr>
          <w:lang w:val="en-AU"/>
        </w:rPr>
        <w:t xml:space="preserve"> Chairman of the FC</w:t>
      </w:r>
      <w:r>
        <w:rPr>
          <w:lang w:val="en-AU"/>
        </w:rPr>
        <w:t xml:space="preserve"> noted </w:t>
      </w:r>
      <w:r w:rsidR="005D1700">
        <w:rPr>
          <w:lang w:val="en-AU"/>
        </w:rPr>
        <w:t xml:space="preserve">in a paper to the Drafting Group </w:t>
      </w:r>
      <w:r>
        <w:rPr>
          <w:lang w:val="en-AU"/>
        </w:rPr>
        <w:t xml:space="preserve">that </w:t>
      </w:r>
      <w:r w:rsidR="005D1700">
        <w:rPr>
          <w:lang w:val="en-AU"/>
        </w:rPr>
        <w:t xml:space="preserve">while </w:t>
      </w:r>
      <w:r>
        <w:rPr>
          <w:lang w:val="en-AU"/>
        </w:rPr>
        <w:t>some articles referred to income (arts 6</w:t>
      </w:r>
      <w:r w:rsidR="000C1296">
        <w:rPr>
          <w:lang w:val="en-AU"/>
        </w:rPr>
        <w:t xml:space="preserve"> (immovable property)</w:t>
      </w:r>
      <w:r>
        <w:rPr>
          <w:lang w:val="en-AU"/>
        </w:rPr>
        <w:t xml:space="preserve">, </w:t>
      </w:r>
      <w:r w:rsidR="000A5F96">
        <w:rPr>
          <w:lang w:val="en-AU"/>
        </w:rPr>
        <w:t>8</w:t>
      </w:r>
      <w:r w:rsidR="000C1296">
        <w:rPr>
          <w:lang w:val="en-AU"/>
        </w:rPr>
        <w:t xml:space="preserve"> (shipping)</w:t>
      </w:r>
      <w:r w:rsidR="000A5F96">
        <w:rPr>
          <w:lang w:val="en-AU"/>
        </w:rPr>
        <w:t>)</w:t>
      </w:r>
      <w:r w:rsidR="007F3C06">
        <w:rPr>
          <w:lang w:val="en-AU"/>
        </w:rPr>
        <w:t>,</w:t>
      </w:r>
      <w:r w:rsidR="000A5F96">
        <w:rPr>
          <w:lang w:val="en-AU"/>
        </w:rPr>
        <w:t xml:space="preserve"> others referred to income derived by a resident (arts 14, 15</w:t>
      </w:r>
      <w:r w:rsidR="009C0B7E">
        <w:rPr>
          <w:lang w:val="en-AU"/>
        </w:rPr>
        <w:t>, 17, 19</w:t>
      </w:r>
      <w:r w:rsidR="000A5F96">
        <w:rPr>
          <w:lang w:val="en-AU"/>
        </w:rPr>
        <w:t>)</w:t>
      </w:r>
      <w:r w:rsidR="009C0B7E">
        <w:rPr>
          <w:lang w:val="en-AU"/>
        </w:rPr>
        <w:t>.</w:t>
      </w:r>
      <w:r w:rsidR="007C0AC8">
        <w:rPr>
          <w:rStyle w:val="FootnoteReference"/>
          <w:lang w:val="en-AU"/>
        </w:rPr>
        <w:footnoteReference w:id="42"/>
      </w:r>
      <w:r w:rsidR="009C0B7E">
        <w:rPr>
          <w:lang w:val="en-AU"/>
        </w:rPr>
        <w:t xml:space="preserve"> </w:t>
      </w:r>
      <w:r w:rsidR="007C0AC8">
        <w:rPr>
          <w:lang w:val="en-AU"/>
        </w:rPr>
        <w:t>He</w:t>
      </w:r>
      <w:r w:rsidR="009C0B7E">
        <w:rPr>
          <w:lang w:val="en-AU"/>
        </w:rPr>
        <w:t xml:space="preserve"> </w:t>
      </w:r>
      <w:r w:rsidR="007C0AC8">
        <w:rPr>
          <w:lang w:val="en-AU"/>
        </w:rPr>
        <w:t xml:space="preserve">posed the question </w:t>
      </w:r>
      <w:r w:rsidR="009C0B7E">
        <w:rPr>
          <w:lang w:val="en-AU"/>
        </w:rPr>
        <w:t>whether to d</w:t>
      </w:r>
      <w:r w:rsidR="00110296">
        <w:rPr>
          <w:lang w:val="en-AU"/>
        </w:rPr>
        <w:t>elete</w:t>
      </w:r>
      <w:r w:rsidR="009C0B7E">
        <w:rPr>
          <w:lang w:val="en-AU"/>
        </w:rPr>
        <w:t xml:space="preserve"> </w:t>
      </w:r>
      <w:r w:rsidR="00994E3C">
        <w:rPr>
          <w:lang w:val="en-AU"/>
        </w:rPr>
        <w:t>‘</w:t>
      </w:r>
      <w:r w:rsidR="00994E3C" w:rsidRPr="00C60731">
        <w:t>derived by a resident of a Contracting State</w:t>
      </w:r>
      <w:r w:rsidR="00994E3C" w:rsidRPr="00994E3C">
        <w:t>’</w:t>
      </w:r>
      <w:r w:rsidR="00994E3C" w:rsidRPr="00994E3C">
        <w:rPr>
          <w:lang w:val="en-AU"/>
        </w:rPr>
        <w:t xml:space="preserve"> </w:t>
      </w:r>
      <w:r w:rsidR="00994E3C">
        <w:rPr>
          <w:lang w:val="en-AU"/>
        </w:rPr>
        <w:t xml:space="preserve">in art 15(1) </w:t>
      </w:r>
      <w:r w:rsidR="007C0AC8">
        <w:rPr>
          <w:lang w:val="en-AU"/>
        </w:rPr>
        <w:t xml:space="preserve">to be </w:t>
      </w:r>
      <w:r w:rsidR="00C15491">
        <w:rPr>
          <w:lang w:val="en-AU"/>
        </w:rPr>
        <w:t xml:space="preserve">on the same lines as </w:t>
      </w:r>
      <w:r w:rsidR="009C0B7E">
        <w:rPr>
          <w:lang w:val="en-AU"/>
        </w:rPr>
        <w:t>arts 6 and 8</w:t>
      </w:r>
      <w:r w:rsidR="00994E3C">
        <w:rPr>
          <w:lang w:val="en-AU"/>
        </w:rPr>
        <w:t xml:space="preserve">, or whether </w:t>
      </w:r>
      <w:r w:rsidR="00E157CD">
        <w:rPr>
          <w:lang w:val="en-AU"/>
        </w:rPr>
        <w:t>to add those words to art 16 which at the time did not contain them</w:t>
      </w:r>
      <w:r w:rsidR="000A5F96">
        <w:rPr>
          <w:lang w:val="en-AU"/>
        </w:rPr>
        <w:t>.</w:t>
      </w:r>
      <w:bookmarkStart w:id="4" w:name="_Ref81984241"/>
      <w:r w:rsidR="007C0AC8">
        <w:rPr>
          <w:rStyle w:val="FootnoteReference"/>
          <w:lang w:val="en-AU"/>
        </w:rPr>
        <w:footnoteReference w:id="43"/>
      </w:r>
      <w:bookmarkEnd w:id="4"/>
      <w:r w:rsidR="000A5F96">
        <w:rPr>
          <w:lang w:val="en-AU"/>
        </w:rPr>
        <w:t xml:space="preserve"> </w:t>
      </w:r>
      <w:r w:rsidR="00E157CD">
        <w:rPr>
          <w:lang w:val="en-AU"/>
        </w:rPr>
        <w:t>Fortunately the</w:t>
      </w:r>
      <w:r w:rsidR="007C0AC8">
        <w:rPr>
          <w:lang w:val="en-AU"/>
        </w:rPr>
        <w:t xml:space="preserve"> Drafting Committee</w:t>
      </w:r>
      <w:r w:rsidR="00E157CD">
        <w:rPr>
          <w:lang w:val="en-AU"/>
        </w:rPr>
        <w:t xml:space="preserve"> </w:t>
      </w:r>
      <w:r w:rsidR="00C15491">
        <w:rPr>
          <w:lang w:val="en-AU"/>
        </w:rPr>
        <w:t xml:space="preserve">eventually </w:t>
      </w:r>
      <w:r w:rsidR="00E157CD">
        <w:rPr>
          <w:lang w:val="en-AU"/>
        </w:rPr>
        <w:t>chose the latter</w:t>
      </w:r>
      <w:r w:rsidR="00FE15AB">
        <w:rPr>
          <w:lang w:val="en-AU"/>
        </w:rPr>
        <w:t>, but without questioning their absence in arts 6 and 8</w:t>
      </w:r>
      <w:r w:rsidR="0086551C">
        <w:rPr>
          <w:lang w:val="en-AU"/>
        </w:rPr>
        <w:t>;</w:t>
      </w:r>
      <w:r w:rsidR="00C15491">
        <w:rPr>
          <w:rStyle w:val="FootnoteReference"/>
          <w:lang w:val="en-AU"/>
        </w:rPr>
        <w:footnoteReference w:id="44"/>
      </w:r>
      <w:r w:rsidR="0086551C">
        <w:rPr>
          <w:lang w:val="en-AU"/>
        </w:rPr>
        <w:t xml:space="preserve"> that would have to wait </w:t>
      </w:r>
      <w:r w:rsidR="00DD101F">
        <w:rPr>
          <w:lang w:val="en-AU"/>
        </w:rPr>
        <w:t>another 15 years</w:t>
      </w:r>
      <w:r w:rsidR="0086551C">
        <w:rPr>
          <w:lang w:val="en-AU"/>
        </w:rPr>
        <w:t>.</w:t>
      </w:r>
      <w:r w:rsidR="0086551C">
        <w:rPr>
          <w:rStyle w:val="FootnoteReference"/>
          <w:lang w:val="en-AU"/>
        </w:rPr>
        <w:footnoteReference w:id="45"/>
      </w:r>
      <w:r w:rsidR="00E157CD">
        <w:rPr>
          <w:lang w:val="en-AU"/>
        </w:rPr>
        <w:t xml:space="preserve"> </w:t>
      </w:r>
      <w:r w:rsidR="000A5F96">
        <w:rPr>
          <w:lang w:val="en-AU"/>
        </w:rPr>
        <w:t>The difference is significant</w:t>
      </w:r>
      <w:r w:rsidR="00994E3C">
        <w:rPr>
          <w:lang w:val="en-AU"/>
        </w:rPr>
        <w:t xml:space="preserve"> because</w:t>
      </w:r>
      <w:r w:rsidR="00172C1A">
        <w:rPr>
          <w:lang w:val="en-AU"/>
        </w:rPr>
        <w:t>,</w:t>
      </w:r>
      <w:r w:rsidR="00994E3C">
        <w:rPr>
          <w:lang w:val="en-AU"/>
        </w:rPr>
        <w:t xml:space="preserve"> </w:t>
      </w:r>
      <w:r w:rsidR="005D1700">
        <w:rPr>
          <w:lang w:val="en-AU"/>
        </w:rPr>
        <w:t xml:space="preserve">since </w:t>
      </w:r>
      <w:r w:rsidR="00994E3C">
        <w:rPr>
          <w:lang w:val="en-AU"/>
        </w:rPr>
        <w:t>art 6 in the 1963 Draft did not refer to a resident at all</w:t>
      </w:r>
      <w:r w:rsidR="004A03E7">
        <w:rPr>
          <w:lang w:val="en-AU"/>
        </w:rPr>
        <w:t>,</w:t>
      </w:r>
      <w:r w:rsidR="00994E3C">
        <w:rPr>
          <w:lang w:val="en-AU"/>
        </w:rPr>
        <w:t xml:space="preserve"> </w:t>
      </w:r>
      <w:r w:rsidR="005D1700">
        <w:rPr>
          <w:lang w:val="en-AU"/>
        </w:rPr>
        <w:t>it</w:t>
      </w:r>
      <w:r w:rsidR="00994E3C">
        <w:rPr>
          <w:lang w:val="en-AU"/>
        </w:rPr>
        <w:t xml:space="preserve"> therefore </w:t>
      </w:r>
      <w:r w:rsidR="005D1700">
        <w:rPr>
          <w:lang w:val="en-AU"/>
        </w:rPr>
        <w:t xml:space="preserve">applied to </w:t>
      </w:r>
      <w:r w:rsidR="00994E3C">
        <w:rPr>
          <w:lang w:val="en-AU"/>
        </w:rPr>
        <w:t xml:space="preserve">immovable property in either </w:t>
      </w:r>
      <w:r w:rsidR="00110296">
        <w:rPr>
          <w:lang w:val="en-AU"/>
        </w:rPr>
        <w:t xml:space="preserve">the residence </w:t>
      </w:r>
      <w:r w:rsidR="00994E3C">
        <w:rPr>
          <w:lang w:val="en-AU"/>
        </w:rPr>
        <w:t>state</w:t>
      </w:r>
      <w:r w:rsidR="00110296">
        <w:rPr>
          <w:lang w:val="en-AU"/>
        </w:rPr>
        <w:t xml:space="preserve"> or the other state</w:t>
      </w:r>
      <w:r w:rsidR="00994E3C">
        <w:rPr>
          <w:lang w:val="en-AU"/>
        </w:rPr>
        <w:t>. If the taxpayer was a resident of the state in which the immovable property was situated</w:t>
      </w:r>
      <w:r w:rsidR="00E157CD">
        <w:rPr>
          <w:lang w:val="en-AU"/>
        </w:rPr>
        <w:t>,</w:t>
      </w:r>
      <w:r w:rsidR="00E157CD">
        <w:rPr>
          <w:rStyle w:val="FootnoteReference"/>
          <w:lang w:val="en-AU"/>
        </w:rPr>
        <w:footnoteReference w:id="46"/>
      </w:r>
      <w:r w:rsidR="00994E3C">
        <w:rPr>
          <w:lang w:val="en-AU"/>
        </w:rPr>
        <w:t xml:space="preserve"> art 6 </w:t>
      </w:r>
      <w:r w:rsidR="007C0AC8">
        <w:rPr>
          <w:lang w:val="en-AU"/>
        </w:rPr>
        <w:t xml:space="preserve">therefore </w:t>
      </w:r>
      <w:r w:rsidR="00994E3C">
        <w:rPr>
          <w:lang w:val="en-AU"/>
        </w:rPr>
        <w:t>said nothing about taxation in the other state thus leaving it open for the other state</w:t>
      </w:r>
      <w:r w:rsidR="00E157CD">
        <w:rPr>
          <w:lang w:val="en-AU"/>
        </w:rPr>
        <w:t>,</w:t>
      </w:r>
      <w:r w:rsidR="00994E3C">
        <w:rPr>
          <w:lang w:val="en-AU"/>
        </w:rPr>
        <w:t xml:space="preserve"> as </w:t>
      </w:r>
      <w:r w:rsidR="00E157CD">
        <w:rPr>
          <w:lang w:val="en-AU"/>
        </w:rPr>
        <w:t xml:space="preserve">the </w:t>
      </w:r>
      <w:r w:rsidR="00994E3C">
        <w:rPr>
          <w:lang w:val="en-AU"/>
        </w:rPr>
        <w:t xml:space="preserve">loser </w:t>
      </w:r>
      <w:r w:rsidR="00E157CD">
        <w:rPr>
          <w:lang w:val="en-AU"/>
        </w:rPr>
        <w:t xml:space="preserve">state </w:t>
      </w:r>
      <w:r w:rsidR="00994E3C">
        <w:rPr>
          <w:lang w:val="en-AU"/>
        </w:rPr>
        <w:t>under a dual residence tie-breaker</w:t>
      </w:r>
      <w:r w:rsidR="00FE15AB">
        <w:rPr>
          <w:lang w:val="en-AU"/>
        </w:rPr>
        <w:t>,</w:t>
      </w:r>
      <w:r w:rsidR="00994E3C">
        <w:rPr>
          <w:lang w:val="en-AU"/>
        </w:rPr>
        <w:t xml:space="preserve"> to tax. This was not prevented by art 21 </w:t>
      </w:r>
      <w:r w:rsidR="00E157CD">
        <w:rPr>
          <w:lang w:val="en-AU"/>
        </w:rPr>
        <w:t>(</w:t>
      </w:r>
      <w:r w:rsidR="000C1296">
        <w:rPr>
          <w:lang w:val="en-AU"/>
        </w:rPr>
        <w:t xml:space="preserve">other </w:t>
      </w:r>
      <w:r w:rsidR="000C1296">
        <w:rPr>
          <w:lang w:val="en-AU"/>
        </w:rPr>
        <w:lastRenderedPageBreak/>
        <w:t xml:space="preserve">income, </w:t>
      </w:r>
      <w:r w:rsidR="00E157CD">
        <w:rPr>
          <w:lang w:val="en-AU"/>
        </w:rPr>
        <w:t xml:space="preserve">which </w:t>
      </w:r>
      <w:r w:rsidR="004A03E7">
        <w:rPr>
          <w:lang w:val="en-AU"/>
        </w:rPr>
        <w:t>did not then exist a</w:t>
      </w:r>
      <w:r w:rsidR="00172C1A">
        <w:rPr>
          <w:lang w:val="en-AU"/>
        </w:rPr>
        <w:t>s it</w:t>
      </w:r>
      <w:r w:rsidR="004A03E7">
        <w:rPr>
          <w:lang w:val="en-AU"/>
        </w:rPr>
        <w:t xml:space="preserve"> would not be </w:t>
      </w:r>
      <w:r w:rsidR="00603C98">
        <w:rPr>
          <w:lang w:val="en-AU"/>
        </w:rPr>
        <w:t>published</w:t>
      </w:r>
      <w:r w:rsidR="004A03E7">
        <w:rPr>
          <w:lang w:val="en-AU"/>
        </w:rPr>
        <w:t xml:space="preserve"> until the Third Report</w:t>
      </w:r>
      <w:r w:rsidR="00E157CD">
        <w:rPr>
          <w:lang w:val="en-AU"/>
        </w:rPr>
        <w:t>)</w:t>
      </w:r>
      <w:r w:rsidR="00994E3C">
        <w:rPr>
          <w:lang w:val="en-AU"/>
        </w:rPr>
        <w:t xml:space="preserve"> </w:t>
      </w:r>
      <w:r w:rsidR="00D42F0B">
        <w:rPr>
          <w:lang w:val="en-AU"/>
        </w:rPr>
        <w:t xml:space="preserve">after it was introduced </w:t>
      </w:r>
      <w:r w:rsidR="00994E3C">
        <w:rPr>
          <w:lang w:val="en-AU"/>
        </w:rPr>
        <w:t xml:space="preserve">because immovable property in either state had been </w:t>
      </w:r>
      <w:r w:rsidR="00DD101F">
        <w:rPr>
          <w:lang w:val="en-AU"/>
        </w:rPr>
        <w:t>‘</w:t>
      </w:r>
      <w:r w:rsidR="00063000">
        <w:rPr>
          <w:lang w:val="en-AU"/>
        </w:rPr>
        <w:t>expressly mentioned</w:t>
      </w:r>
      <w:r w:rsidR="00DD101F">
        <w:rPr>
          <w:lang w:val="en-AU"/>
        </w:rPr>
        <w:t>’</w:t>
      </w:r>
      <w:r w:rsidR="00063000">
        <w:rPr>
          <w:lang w:val="en-AU"/>
        </w:rPr>
        <w:t xml:space="preserve"> (later </w:t>
      </w:r>
      <w:r w:rsidR="00DD101F">
        <w:rPr>
          <w:lang w:val="en-AU"/>
        </w:rPr>
        <w:t>‘</w:t>
      </w:r>
      <w:r w:rsidR="00994E3C">
        <w:rPr>
          <w:lang w:val="en-AU"/>
        </w:rPr>
        <w:t>dealt with</w:t>
      </w:r>
      <w:r w:rsidR="00DD101F">
        <w:rPr>
          <w:lang w:val="en-AU"/>
        </w:rPr>
        <w:t>’</w:t>
      </w:r>
      <w:r w:rsidR="00063000">
        <w:rPr>
          <w:lang w:val="en-AU"/>
        </w:rPr>
        <w:t>)</w:t>
      </w:r>
      <w:r w:rsidR="00994E3C">
        <w:rPr>
          <w:lang w:val="en-AU"/>
        </w:rPr>
        <w:t xml:space="preserve"> in art 6.</w:t>
      </w:r>
      <w:r w:rsidR="00E43B93">
        <w:rPr>
          <w:lang w:val="en-AU"/>
        </w:rPr>
        <w:t xml:space="preserve"> </w:t>
      </w:r>
      <w:r w:rsidR="005D1700">
        <w:rPr>
          <w:lang w:val="en-AU"/>
        </w:rPr>
        <w:t xml:space="preserve">Taxation by the state </w:t>
      </w:r>
      <w:r w:rsidR="00247FFE">
        <w:rPr>
          <w:lang w:val="en-AU"/>
        </w:rPr>
        <w:t xml:space="preserve">in which the immovable property was not situated </w:t>
      </w:r>
      <w:r w:rsidR="005D1700">
        <w:rPr>
          <w:lang w:val="en-AU"/>
        </w:rPr>
        <w:t xml:space="preserve">was not a problem on the original wording of art 6 under which income </w:t>
      </w:r>
      <w:r w:rsidR="00247FFE">
        <w:rPr>
          <w:lang w:val="en-AU"/>
        </w:rPr>
        <w:t xml:space="preserve">‘shall be </w:t>
      </w:r>
      <w:r w:rsidR="005D1700">
        <w:rPr>
          <w:lang w:val="en-AU"/>
        </w:rPr>
        <w:t>taxable only</w:t>
      </w:r>
      <w:r w:rsidR="00247FFE">
        <w:rPr>
          <w:lang w:val="en-AU"/>
        </w:rPr>
        <w:t>’</w:t>
      </w:r>
      <w:r w:rsidR="005D1700">
        <w:rPr>
          <w:lang w:val="en-AU"/>
        </w:rPr>
        <w:t xml:space="preserve"> in the state where the immovable property was situated. Article</w:t>
      </w:r>
      <w:r w:rsidR="00E43B93">
        <w:rPr>
          <w:lang w:val="en-AU"/>
        </w:rPr>
        <w:t xml:space="preserve"> 6 had been adopted by the FC containing the</w:t>
      </w:r>
      <w:r w:rsidR="00247FFE">
        <w:rPr>
          <w:lang w:val="en-AU"/>
        </w:rPr>
        <w:t>se</w:t>
      </w:r>
      <w:r w:rsidR="00E43B93">
        <w:rPr>
          <w:lang w:val="en-AU"/>
        </w:rPr>
        <w:t xml:space="preserve"> words in </w:t>
      </w:r>
      <w:r w:rsidR="005D1700">
        <w:rPr>
          <w:lang w:val="en-AU"/>
        </w:rPr>
        <w:t xml:space="preserve">November </w:t>
      </w:r>
      <w:r w:rsidR="00E43B93">
        <w:rPr>
          <w:lang w:val="en-AU"/>
        </w:rPr>
        <w:t xml:space="preserve">1958, which they had asked </w:t>
      </w:r>
      <w:proofErr w:type="spellStart"/>
      <w:r w:rsidR="00E43B93">
        <w:rPr>
          <w:lang w:val="en-AU"/>
        </w:rPr>
        <w:t>WP15</w:t>
      </w:r>
      <w:proofErr w:type="spellEnd"/>
      <w:r w:rsidR="00E43B93">
        <w:rPr>
          <w:lang w:val="en-AU"/>
        </w:rPr>
        <w:t xml:space="preserve">, </w:t>
      </w:r>
      <w:r w:rsidR="00247FFE">
        <w:rPr>
          <w:lang w:val="en-AU"/>
        </w:rPr>
        <w:t xml:space="preserve">who were responsible for </w:t>
      </w:r>
      <w:r w:rsidR="00E43B93">
        <w:rPr>
          <w:lang w:val="en-AU"/>
        </w:rPr>
        <w:t>art 23</w:t>
      </w:r>
      <w:r w:rsidR="005D1700">
        <w:rPr>
          <w:lang w:val="en-AU"/>
        </w:rPr>
        <w:t>,</w:t>
      </w:r>
      <w:r w:rsidR="00E43B93">
        <w:rPr>
          <w:lang w:val="en-AU"/>
        </w:rPr>
        <w:t xml:space="preserve"> to review.</w:t>
      </w:r>
      <w:r w:rsidR="00E43B93">
        <w:rPr>
          <w:rStyle w:val="FootnoteReference"/>
          <w:lang w:val="en-AU"/>
        </w:rPr>
        <w:footnoteReference w:id="47"/>
      </w:r>
      <w:r w:rsidR="00E43B93">
        <w:rPr>
          <w:lang w:val="en-AU"/>
        </w:rPr>
        <w:t xml:space="preserve"> Presumably </w:t>
      </w:r>
      <w:proofErr w:type="spellStart"/>
      <w:r w:rsidR="00E43B93">
        <w:rPr>
          <w:lang w:val="en-AU"/>
        </w:rPr>
        <w:t>WP15</w:t>
      </w:r>
      <w:proofErr w:type="spellEnd"/>
      <w:r w:rsidR="00E43B93">
        <w:rPr>
          <w:lang w:val="en-AU"/>
        </w:rPr>
        <w:t xml:space="preserve"> changed this to ‘may be taxed’ </w:t>
      </w:r>
      <w:r w:rsidR="005D1700">
        <w:rPr>
          <w:lang w:val="en-AU"/>
        </w:rPr>
        <w:t xml:space="preserve">in order </w:t>
      </w:r>
      <w:r w:rsidR="00E43B93">
        <w:rPr>
          <w:lang w:val="en-AU"/>
        </w:rPr>
        <w:t xml:space="preserve">to suit credit states, although there is no record of their doing this or of the point being referred back to the FC as the FC had requested. </w:t>
      </w:r>
      <w:r w:rsidR="00603C98">
        <w:rPr>
          <w:lang w:val="en-AU"/>
        </w:rPr>
        <w:t xml:space="preserve">On the same day </w:t>
      </w:r>
      <w:r w:rsidR="007C0AC8">
        <w:rPr>
          <w:lang w:val="en-AU"/>
        </w:rPr>
        <w:t>as the Secretar</w:t>
      </w:r>
      <w:r w:rsidR="00391FAB">
        <w:rPr>
          <w:lang w:val="en-AU"/>
        </w:rPr>
        <w:t>y</w:t>
      </w:r>
      <w:r w:rsidR="007C0AC8">
        <w:rPr>
          <w:lang w:val="en-AU"/>
        </w:rPr>
        <w:t xml:space="preserve"> sent the Drafting Group the Chairman’s comments</w:t>
      </w:r>
      <w:r w:rsidR="004A03E7">
        <w:rPr>
          <w:lang w:val="en-AU"/>
        </w:rPr>
        <w:t>,</w:t>
      </w:r>
      <w:r w:rsidR="007C0AC8">
        <w:rPr>
          <w:lang w:val="en-AU"/>
        </w:rPr>
        <w:t xml:space="preserve"> he submitted </w:t>
      </w:r>
      <w:r w:rsidR="004A03E7">
        <w:rPr>
          <w:lang w:val="en-AU"/>
        </w:rPr>
        <w:t>a</w:t>
      </w:r>
      <w:r w:rsidR="005D1700">
        <w:rPr>
          <w:lang w:val="en-AU"/>
        </w:rPr>
        <w:t xml:space="preserve"> version of </w:t>
      </w:r>
      <w:r w:rsidR="00E43B93">
        <w:rPr>
          <w:lang w:val="en-AU"/>
        </w:rPr>
        <w:t xml:space="preserve">art 6 </w:t>
      </w:r>
      <w:r w:rsidR="00172C1A">
        <w:rPr>
          <w:lang w:val="en-AU"/>
        </w:rPr>
        <w:t>containing</w:t>
      </w:r>
      <w:r w:rsidR="00E43B93">
        <w:rPr>
          <w:lang w:val="en-AU"/>
        </w:rPr>
        <w:t xml:space="preserve"> ‘may be taxed.’</w:t>
      </w:r>
      <w:r w:rsidR="001D60DB">
        <w:rPr>
          <w:rStyle w:val="FootnoteReference"/>
          <w:lang w:val="en-AU"/>
        </w:rPr>
        <w:footnoteReference w:id="48"/>
      </w:r>
      <w:r w:rsidR="001D60DB">
        <w:rPr>
          <w:lang w:val="en-AU"/>
        </w:rPr>
        <w:t xml:space="preserve"> If </w:t>
      </w:r>
      <w:r w:rsidR="005D1700">
        <w:rPr>
          <w:lang w:val="en-AU"/>
        </w:rPr>
        <w:t xml:space="preserve">it had still said </w:t>
      </w:r>
      <w:r w:rsidR="001D60DB">
        <w:rPr>
          <w:lang w:val="en-AU"/>
        </w:rPr>
        <w:t>‘shall be taxable only’ the loser state would have been prevented from taxing</w:t>
      </w:r>
      <w:r w:rsidR="005D1700">
        <w:rPr>
          <w:lang w:val="en-AU"/>
        </w:rPr>
        <w:t xml:space="preserve"> by these words</w:t>
      </w:r>
      <w:r w:rsidR="007C0AC8">
        <w:rPr>
          <w:lang w:val="en-AU"/>
        </w:rPr>
        <w:t xml:space="preserve"> regardless of the absence of any reference to the taxpayer’s residence</w:t>
      </w:r>
      <w:r w:rsidR="001D60DB">
        <w:rPr>
          <w:lang w:val="en-AU"/>
        </w:rPr>
        <w:t>.</w:t>
      </w:r>
      <w:r w:rsidR="007C0AC8">
        <w:rPr>
          <w:lang w:val="en-AU"/>
        </w:rPr>
        <w:t xml:space="preserve"> Thus the Drafting Committee </w:t>
      </w:r>
      <w:r w:rsidR="00391FAB">
        <w:rPr>
          <w:lang w:val="en-AU"/>
        </w:rPr>
        <w:t xml:space="preserve">were </w:t>
      </w:r>
      <w:r w:rsidR="007C0AC8">
        <w:rPr>
          <w:lang w:val="en-AU"/>
        </w:rPr>
        <w:t>discussing the point raised by the Chairman at the same time as art 6 was changed in a material respect.</w:t>
      </w:r>
    </w:p>
    <w:p w14:paraId="5611FD9E" w14:textId="476B1E82" w:rsidR="00F36FF3" w:rsidRDefault="00F36FF3" w:rsidP="00F36FF3">
      <w:pPr>
        <w:pStyle w:val="BodyText"/>
        <w:rPr>
          <w:lang w:val="en-AU"/>
        </w:rPr>
      </w:pPr>
      <w:r>
        <w:rPr>
          <w:lang w:val="en-AU"/>
        </w:rPr>
        <w:t xml:space="preserve">The </w:t>
      </w:r>
      <w:r w:rsidR="00D42F0B">
        <w:rPr>
          <w:lang w:val="en-AU"/>
        </w:rPr>
        <w:t xml:space="preserve">conclusion is that the </w:t>
      </w:r>
      <w:r>
        <w:rPr>
          <w:lang w:val="en-AU"/>
        </w:rPr>
        <w:t>Drafting Group comprised influential people but they construed their task narrowly as being confined to low-level drafting and translation points.  There is also unfortunately little record of the changes they made.</w:t>
      </w:r>
      <w:r w:rsidRPr="0057689B">
        <w:rPr>
          <w:lang w:val="en-AU"/>
        </w:rPr>
        <w:t xml:space="preserve"> </w:t>
      </w:r>
      <w:r w:rsidRPr="00613039">
        <w:rPr>
          <w:lang w:val="en-AU"/>
        </w:rPr>
        <w:t>The German main delegates (</w:t>
      </w:r>
      <w:r w:rsidR="000C6F42">
        <w:rPr>
          <w:lang w:val="en-AU"/>
        </w:rPr>
        <w:t xml:space="preserve">Horst </w:t>
      </w:r>
      <w:r w:rsidRPr="00613039">
        <w:rPr>
          <w:lang w:val="en-AU"/>
        </w:rPr>
        <w:t xml:space="preserve">Vogel and </w:t>
      </w:r>
      <w:proofErr w:type="spellStart"/>
      <w:r w:rsidRPr="00613039">
        <w:rPr>
          <w:lang w:val="en-AU"/>
        </w:rPr>
        <w:t>Debatin</w:t>
      </w:r>
      <w:proofErr w:type="spellEnd"/>
      <w:r w:rsidRPr="00613039">
        <w:rPr>
          <w:lang w:val="en-AU"/>
        </w:rPr>
        <w:t xml:space="preserve">) </w:t>
      </w:r>
      <w:r>
        <w:rPr>
          <w:lang w:val="en-AU"/>
        </w:rPr>
        <w:t>were</w:t>
      </w:r>
      <w:r w:rsidRPr="00613039">
        <w:rPr>
          <w:lang w:val="en-AU"/>
        </w:rPr>
        <w:t xml:space="preserve"> technocrats and the UK delegates change</w:t>
      </w:r>
      <w:r>
        <w:rPr>
          <w:lang w:val="en-AU"/>
        </w:rPr>
        <w:t>d</w:t>
      </w:r>
      <w:r w:rsidRPr="00613039">
        <w:rPr>
          <w:lang w:val="en-AU"/>
        </w:rPr>
        <w:t xml:space="preserve"> often although they were influential in the early years of the FC.</w:t>
      </w:r>
      <w:r>
        <w:rPr>
          <w:rStyle w:val="FootnoteReference"/>
          <w:lang w:val="en-AU"/>
        </w:rPr>
        <w:footnoteReference w:id="49"/>
      </w:r>
      <w:r w:rsidRPr="00613039">
        <w:rPr>
          <w:lang w:val="en-AU"/>
        </w:rPr>
        <w:t xml:space="preserve"> </w:t>
      </w:r>
    </w:p>
    <w:p w14:paraId="629937EE" w14:textId="39485785" w:rsidR="004030F4" w:rsidRDefault="0005223F" w:rsidP="0005223F">
      <w:pPr>
        <w:pStyle w:val="Heading4"/>
        <w:rPr>
          <w:lang w:val="en-AU"/>
        </w:rPr>
      </w:pPr>
      <w:r>
        <w:rPr>
          <w:lang w:val="en-AU"/>
        </w:rPr>
        <w:t>Working Part</w:t>
      </w:r>
      <w:r w:rsidR="00FE2E83">
        <w:rPr>
          <w:lang w:val="en-AU"/>
        </w:rPr>
        <w:t>ies</w:t>
      </w:r>
      <w:r>
        <w:rPr>
          <w:lang w:val="en-AU"/>
        </w:rPr>
        <w:t xml:space="preserve"> 14</w:t>
      </w:r>
      <w:r w:rsidR="00FE2E83">
        <w:rPr>
          <w:lang w:val="en-AU"/>
        </w:rPr>
        <w:t xml:space="preserve"> [art 21</w:t>
      </w:r>
      <w:r w:rsidR="00614F4E">
        <w:rPr>
          <w:lang w:val="en-AU"/>
        </w:rPr>
        <w:t xml:space="preserve"> and others</w:t>
      </w:r>
      <w:r w:rsidR="00FE2E83">
        <w:rPr>
          <w:lang w:val="en-AU"/>
        </w:rPr>
        <w:t>] and 15 [art 23]</w:t>
      </w:r>
    </w:p>
    <w:p w14:paraId="04F7B397" w14:textId="6C7C744C" w:rsidR="0005223F" w:rsidRDefault="00603C98" w:rsidP="0005223F">
      <w:pPr>
        <w:pStyle w:val="BodyText"/>
        <w:rPr>
          <w:lang w:val="en-AU"/>
        </w:rPr>
      </w:pPr>
      <w:r>
        <w:rPr>
          <w:lang w:val="en-AU"/>
        </w:rPr>
        <w:t xml:space="preserve">The </w:t>
      </w:r>
      <w:r w:rsidR="0005223F">
        <w:rPr>
          <w:lang w:val="en-AU"/>
        </w:rPr>
        <w:t xml:space="preserve">terms of reference </w:t>
      </w:r>
      <w:r>
        <w:rPr>
          <w:lang w:val="en-AU"/>
        </w:rPr>
        <w:t>of Working Party 14, which was responsible for a number of miscellaneous articles including art</w:t>
      </w:r>
      <w:r w:rsidR="000B5BDE">
        <w:rPr>
          <w:lang w:val="en-AU"/>
        </w:rPr>
        <w:t>s</w:t>
      </w:r>
      <w:r>
        <w:rPr>
          <w:lang w:val="en-AU"/>
        </w:rPr>
        <w:t xml:space="preserve"> </w:t>
      </w:r>
      <w:r w:rsidR="000B5BDE">
        <w:rPr>
          <w:lang w:val="en-AU"/>
        </w:rPr>
        <w:t>1</w:t>
      </w:r>
      <w:r w:rsidR="008009CD">
        <w:rPr>
          <w:lang w:val="en-AU"/>
        </w:rPr>
        <w:t xml:space="preserve"> (persons covered)</w:t>
      </w:r>
      <w:r w:rsidR="000B5BDE">
        <w:rPr>
          <w:lang w:val="en-AU"/>
        </w:rPr>
        <w:t xml:space="preserve">, </w:t>
      </w:r>
      <w:r>
        <w:rPr>
          <w:lang w:val="en-AU"/>
        </w:rPr>
        <w:t>3</w:t>
      </w:r>
      <w:r w:rsidR="000B5BDE">
        <w:rPr>
          <w:lang w:val="en-AU"/>
        </w:rPr>
        <w:t xml:space="preserve"> </w:t>
      </w:r>
      <w:r w:rsidR="008009CD">
        <w:rPr>
          <w:lang w:val="en-AU"/>
        </w:rPr>
        <w:t xml:space="preserve">(definitions) </w:t>
      </w:r>
      <w:r w:rsidR="000B5BDE">
        <w:rPr>
          <w:lang w:val="en-AU"/>
        </w:rPr>
        <w:t>and 21</w:t>
      </w:r>
      <w:r w:rsidR="008009CD">
        <w:rPr>
          <w:lang w:val="en-AU"/>
        </w:rPr>
        <w:t xml:space="preserve"> (other income)</w:t>
      </w:r>
      <w:r>
        <w:rPr>
          <w:lang w:val="en-AU"/>
        </w:rPr>
        <w:t>,</w:t>
      </w:r>
      <w:r>
        <w:rPr>
          <w:rStyle w:val="FootnoteReference"/>
          <w:lang w:val="en-AU"/>
        </w:rPr>
        <w:footnoteReference w:id="50"/>
      </w:r>
      <w:r>
        <w:rPr>
          <w:lang w:val="en-AU"/>
        </w:rPr>
        <w:t xml:space="preserve"> </w:t>
      </w:r>
      <w:r w:rsidR="0005223F">
        <w:rPr>
          <w:lang w:val="en-AU"/>
        </w:rPr>
        <w:t>were changed to include the general structure of the Draft:</w:t>
      </w:r>
      <w:r w:rsidR="0005223F">
        <w:rPr>
          <w:rStyle w:val="FootnoteReference"/>
          <w:lang w:val="en-AU"/>
        </w:rPr>
        <w:footnoteReference w:id="51"/>
      </w:r>
    </w:p>
    <w:p w14:paraId="3BAF748E" w14:textId="2FD7CD9C" w:rsidR="0005223F" w:rsidRPr="0005223F" w:rsidRDefault="0005223F" w:rsidP="0005223F">
      <w:pPr>
        <w:pStyle w:val="BodyTextIndent"/>
        <w:rPr>
          <w:lang w:val="en-AU"/>
        </w:rPr>
      </w:pPr>
      <w:r w:rsidRPr="0005223F">
        <w:rPr>
          <w:lang w:val="en-AU"/>
        </w:rPr>
        <w:t>On the proposal of the Chairman the Committee decided to widen the Working Party's terms of reference and to instruct it to make proposals as to the general structure of the Convention</w:t>
      </w:r>
      <w:r>
        <w:rPr>
          <w:lang w:val="en-AU"/>
        </w:rPr>
        <w:t>.</w:t>
      </w:r>
    </w:p>
    <w:p w14:paraId="4F5FA727" w14:textId="60DE81C6" w:rsidR="004F4F49" w:rsidRDefault="006D346C" w:rsidP="004030F4">
      <w:pPr>
        <w:pStyle w:val="BodyText"/>
        <w:rPr>
          <w:lang w:val="en-AU"/>
        </w:rPr>
      </w:pPr>
      <w:r>
        <w:rPr>
          <w:lang w:val="en-AU"/>
        </w:rPr>
        <w:t xml:space="preserve">There is </w:t>
      </w:r>
      <w:r w:rsidR="009438AE">
        <w:rPr>
          <w:lang w:val="en-AU"/>
        </w:rPr>
        <w:t>some</w:t>
      </w:r>
      <w:r>
        <w:rPr>
          <w:lang w:val="en-AU"/>
        </w:rPr>
        <w:t xml:space="preserve"> evidence that </w:t>
      </w:r>
      <w:proofErr w:type="spellStart"/>
      <w:r>
        <w:rPr>
          <w:lang w:val="en-AU"/>
        </w:rPr>
        <w:t>WP14</w:t>
      </w:r>
      <w:proofErr w:type="spellEnd"/>
      <w:r>
        <w:rPr>
          <w:lang w:val="en-AU"/>
        </w:rPr>
        <w:t xml:space="preserve"> </w:t>
      </w:r>
      <w:r w:rsidR="009438AE">
        <w:rPr>
          <w:lang w:val="en-AU"/>
        </w:rPr>
        <w:t>tried to do so but were not helped by the FC</w:t>
      </w:r>
      <w:r w:rsidR="004F4F49">
        <w:rPr>
          <w:lang w:val="en-AU"/>
        </w:rPr>
        <w:t>.</w:t>
      </w:r>
      <w:r w:rsidR="00391FAB">
        <w:rPr>
          <w:lang w:val="en-AU"/>
        </w:rPr>
        <w:t xml:space="preserve"> </w:t>
      </w:r>
      <w:r>
        <w:rPr>
          <w:lang w:val="en-AU"/>
        </w:rPr>
        <w:t xml:space="preserve">In relation to art 21 </w:t>
      </w:r>
      <w:r w:rsidR="004F4F49">
        <w:rPr>
          <w:lang w:val="en-AU"/>
        </w:rPr>
        <w:t>their first draft of the Commentary showed that they regarded it as being a general principle:</w:t>
      </w:r>
      <w:r w:rsidR="004F4F49">
        <w:rPr>
          <w:rStyle w:val="FootnoteReference"/>
          <w:lang w:val="en-AU"/>
        </w:rPr>
        <w:footnoteReference w:id="52"/>
      </w:r>
      <w:r w:rsidR="004F4F49">
        <w:rPr>
          <w:lang w:val="en-AU"/>
        </w:rPr>
        <w:t xml:space="preserve"> </w:t>
      </w:r>
    </w:p>
    <w:p w14:paraId="51D4C1CB" w14:textId="3FEB2FEF" w:rsidR="004F4F49" w:rsidRDefault="004F4F49" w:rsidP="004F4F49">
      <w:pPr>
        <w:pStyle w:val="BodyTextIndent"/>
        <w:rPr>
          <w:lang w:val="en-AU"/>
        </w:rPr>
      </w:pPr>
      <w:r w:rsidRPr="003672C4">
        <w:t>The aim of the provision, which appears in nearly all Conventions for the avoidance of double taxation, is to give the prior right of taxation to the State of residence, which normally is entitled to tax the whole income and the whole fortune of its residents.</w:t>
      </w:r>
    </w:p>
    <w:p w14:paraId="294BE94C" w14:textId="799AB50A" w:rsidR="00964A41" w:rsidRDefault="004F4F49" w:rsidP="002B61D2">
      <w:pPr>
        <w:pStyle w:val="BodyText"/>
      </w:pPr>
      <w:r>
        <w:rPr>
          <w:lang w:val="en-AU"/>
        </w:rPr>
        <w:t>In the FC there</w:t>
      </w:r>
      <w:r w:rsidR="006D346C">
        <w:rPr>
          <w:lang w:val="en-AU"/>
        </w:rPr>
        <w:t xml:space="preserve"> was some </w:t>
      </w:r>
      <w:r>
        <w:rPr>
          <w:lang w:val="en-AU"/>
        </w:rPr>
        <w:t>doubt about whether it was a general principle</w:t>
      </w:r>
      <w:r w:rsidR="00964A41">
        <w:rPr>
          <w:lang w:val="en-AU"/>
        </w:rPr>
        <w:t xml:space="preserve"> and whether </w:t>
      </w:r>
      <w:proofErr w:type="spellStart"/>
      <w:r w:rsidR="00964A41">
        <w:rPr>
          <w:lang w:val="en-AU"/>
        </w:rPr>
        <w:t>WP15</w:t>
      </w:r>
      <w:proofErr w:type="spellEnd"/>
      <w:r w:rsidR="00964A41">
        <w:rPr>
          <w:lang w:val="en-AU"/>
        </w:rPr>
        <w:t xml:space="preserve"> should deal with the relief article first</w:t>
      </w:r>
      <w:r>
        <w:rPr>
          <w:lang w:val="en-AU"/>
        </w:rPr>
        <w:t>.</w:t>
      </w:r>
      <w:r w:rsidR="00964A41" w:rsidRPr="00964A41">
        <w:rPr>
          <w:sz w:val="20"/>
          <w:vertAlign w:val="superscript"/>
        </w:rPr>
        <w:footnoteReference w:id="53"/>
      </w:r>
      <w:r>
        <w:rPr>
          <w:lang w:val="en-AU"/>
        </w:rPr>
        <w:t xml:space="preserve"> </w:t>
      </w:r>
      <w:r w:rsidRPr="004F4F49">
        <w:t xml:space="preserve">Exemption countries like Germany saw </w:t>
      </w:r>
      <w:r w:rsidRPr="004F4F49">
        <w:lastRenderedPageBreak/>
        <w:t xml:space="preserve">it as a general rule not depending on the method of relieving double taxation, but </w:t>
      </w:r>
      <w:r>
        <w:t xml:space="preserve">the </w:t>
      </w:r>
      <w:r w:rsidR="00964A41">
        <w:t xml:space="preserve">Danish </w:t>
      </w:r>
      <w:r>
        <w:t xml:space="preserve">delegate </w:t>
      </w:r>
      <w:r w:rsidR="007B2871">
        <w:t xml:space="preserve">could </w:t>
      </w:r>
      <w:r w:rsidRPr="004F4F49">
        <w:t xml:space="preserve">not see the need for </w:t>
      </w:r>
      <w:r w:rsidR="00964A41">
        <w:t xml:space="preserve">such an article and said that </w:t>
      </w:r>
      <w:r w:rsidR="00964A41" w:rsidRPr="006D346C">
        <w:t xml:space="preserve">countries which used the credit method did not as a rule have </w:t>
      </w:r>
      <w:r w:rsidR="00964A41">
        <w:t>it</w:t>
      </w:r>
      <w:r w:rsidRPr="004F4F49">
        <w:t xml:space="preserve">. </w:t>
      </w:r>
      <w:r w:rsidR="00964A41" w:rsidRPr="004F4F49">
        <w:t xml:space="preserve">The FC </w:t>
      </w:r>
      <w:r w:rsidR="00964A41">
        <w:t>decided</w:t>
      </w:r>
      <w:r w:rsidR="00964A41" w:rsidRPr="004F4F49">
        <w:t xml:space="preserve"> to deal with art 21 first in spite of the Austrian rapporteur of the WP wanting them to deal with art 23 first.</w:t>
      </w:r>
      <w:r w:rsidR="00964A41">
        <w:t xml:space="preserve"> </w:t>
      </w:r>
      <w:r w:rsidR="009F5E04">
        <w:t xml:space="preserve">In the following meeting the FC considered both arts 21 and 23 seemingly at the same time although they are </w:t>
      </w:r>
      <w:proofErr w:type="spellStart"/>
      <w:r w:rsidR="009F5E04">
        <w:t>minuted</w:t>
      </w:r>
      <w:proofErr w:type="spellEnd"/>
      <w:r w:rsidR="009F5E04">
        <w:t xml:space="preserve"> separately.</w:t>
      </w:r>
      <w:r w:rsidR="009F5E04">
        <w:rPr>
          <w:rStyle w:val="FootnoteReference"/>
        </w:rPr>
        <w:footnoteReference w:id="54"/>
      </w:r>
      <w:r w:rsidR="009F5E04" w:rsidRPr="00F95610">
        <w:t xml:space="preserve"> </w:t>
      </w:r>
      <w:r w:rsidR="00F66B9E">
        <w:t xml:space="preserve">Art 21 was </w:t>
      </w:r>
      <w:r w:rsidR="002C4666">
        <w:t>the article</w:t>
      </w:r>
      <w:r w:rsidR="00F66B9E">
        <w:t xml:space="preserve"> where the importance of the general structure should have been considered </w:t>
      </w:r>
      <w:r w:rsidR="00837423">
        <w:t xml:space="preserve">separately from </w:t>
      </w:r>
      <w:r w:rsidR="00F66B9E">
        <w:t xml:space="preserve">art 23 </w:t>
      </w:r>
      <w:r w:rsidR="00DF725D">
        <w:t>and much earlier in the process</w:t>
      </w:r>
      <w:r w:rsidR="0086551C">
        <w:t>,</w:t>
      </w:r>
      <w:r w:rsidR="00DF725D">
        <w:t xml:space="preserve"> </w:t>
      </w:r>
      <w:r w:rsidR="00F66B9E">
        <w:t xml:space="preserve">but the opportunity was missed. </w:t>
      </w:r>
    </w:p>
    <w:p w14:paraId="7A5FFD57" w14:textId="345E7B32" w:rsidR="002B61D2" w:rsidRDefault="00964A41" w:rsidP="002B61D2">
      <w:pPr>
        <w:pStyle w:val="BodyText"/>
      </w:pPr>
      <w:r>
        <w:t xml:space="preserve">The potential overlap with </w:t>
      </w:r>
      <w:proofErr w:type="spellStart"/>
      <w:r w:rsidR="00F66B9E">
        <w:t>WP15</w:t>
      </w:r>
      <w:proofErr w:type="spellEnd"/>
      <w:r w:rsidR="00F66B9E">
        <w:t xml:space="preserve"> </w:t>
      </w:r>
      <w:r>
        <w:t xml:space="preserve">can be seen in their first draft which came close </w:t>
      </w:r>
      <w:r w:rsidR="00F66B9E">
        <w:t xml:space="preserve">to recommending a </w:t>
      </w:r>
      <w:r w:rsidR="00837423">
        <w:t xml:space="preserve">general </w:t>
      </w:r>
      <w:r w:rsidR="00F66B9E">
        <w:t>structur</w:t>
      </w:r>
      <w:r w:rsidR="00F95610">
        <w:t>e</w:t>
      </w:r>
      <w:r w:rsidR="00F362D4">
        <w:t xml:space="preserve"> in</w:t>
      </w:r>
      <w:r>
        <w:t>clud</w:t>
      </w:r>
      <w:r w:rsidR="000C6F42">
        <w:t>ing</w:t>
      </w:r>
      <w:r>
        <w:t xml:space="preserve"> their own version of art 21</w:t>
      </w:r>
      <w:r w:rsidR="004C0B88">
        <w:t xml:space="preserve"> which they produced before </w:t>
      </w:r>
      <w:proofErr w:type="spellStart"/>
      <w:r w:rsidR="004C0B88">
        <w:t>WP14</w:t>
      </w:r>
      <w:proofErr w:type="spellEnd"/>
      <w:r w:rsidR="004C0B88">
        <w:t xml:space="preserve"> had begun to discuss that article</w:t>
      </w:r>
      <w:r w:rsidR="00F66B9E">
        <w:t>:</w:t>
      </w:r>
      <w:bookmarkStart w:id="6" w:name="_Ref82006717"/>
      <w:r w:rsidR="00293325">
        <w:rPr>
          <w:rStyle w:val="FootnoteReference"/>
        </w:rPr>
        <w:footnoteReference w:id="55"/>
      </w:r>
      <w:bookmarkEnd w:id="6"/>
    </w:p>
    <w:p w14:paraId="1179B8A2" w14:textId="1780574F" w:rsidR="00F66B9E" w:rsidRDefault="00580725" w:rsidP="00580725">
      <w:pPr>
        <w:pStyle w:val="BodyTextIndent"/>
      </w:pPr>
      <w:r>
        <w:t>Draft A</w:t>
      </w:r>
      <w:r w:rsidR="00E02AA5">
        <w:t xml:space="preserve"> [credit]</w:t>
      </w:r>
      <w:r>
        <w:t>. (1)</w:t>
      </w:r>
      <w:r w:rsidR="008A6404">
        <w:t xml:space="preserve"> </w:t>
      </w:r>
      <w:r w:rsidR="00B50344" w:rsidRPr="00B50344">
        <w:t>The laws of each Contracting State shall continue to govern the taxation of income arising in that State and of income derived by residents of that State from the other Contracting State,</w:t>
      </w:r>
      <w:r w:rsidRPr="00580725">
        <w:t xml:space="preserve"> except where express provision to the contrary is made in the present Convention</w:t>
      </w:r>
      <w:r w:rsidR="00E02AA5">
        <w:t>.</w:t>
      </w:r>
      <w:bookmarkStart w:id="7" w:name="_Ref85615112"/>
      <w:r w:rsidR="00293325">
        <w:rPr>
          <w:rStyle w:val="FootnoteReference"/>
        </w:rPr>
        <w:footnoteReference w:id="56"/>
      </w:r>
      <w:bookmarkEnd w:id="7"/>
    </w:p>
    <w:p w14:paraId="7BB30849" w14:textId="0AE8CE05" w:rsidR="00580725" w:rsidRDefault="00580725" w:rsidP="00580725">
      <w:pPr>
        <w:pStyle w:val="BodyTextIndent"/>
      </w:pPr>
      <w:r>
        <w:t>Draft B</w:t>
      </w:r>
      <w:r w:rsidR="00E02AA5">
        <w:t xml:space="preserve"> [exemption]</w:t>
      </w:r>
      <w:r>
        <w:t>. (</w:t>
      </w:r>
      <w:r w:rsidRPr="00580725">
        <w:t>1) Income shall be subject to tax only in that State of which the taxpayer is a resident, except where a provision to the contrary effect is contained in any Article in the present Convention</w:t>
      </w:r>
      <w:r w:rsidR="00E02AA5">
        <w:t>….</w:t>
      </w:r>
    </w:p>
    <w:p w14:paraId="5B647217" w14:textId="7509CD15" w:rsidR="00CA157C" w:rsidRDefault="004068DF" w:rsidP="00E02AA5">
      <w:pPr>
        <w:pStyle w:val="BodyText"/>
      </w:pPr>
      <w:r>
        <w:t xml:space="preserve">One might criticise Draft A(1) for being restricted to income </w:t>
      </w:r>
      <w:r w:rsidR="004C0B88">
        <w:t>arising in one of the states</w:t>
      </w:r>
      <w:r w:rsidR="00E57347">
        <w:t>, an idea that</w:t>
      </w:r>
      <w:r w:rsidR="0068651D">
        <w:t>,</w:t>
      </w:r>
      <w:r w:rsidR="00E57347">
        <w:t xml:space="preserve"> as we shall see</w:t>
      </w:r>
      <w:r w:rsidR="0068651D">
        <w:t>,</w:t>
      </w:r>
      <w:r w:rsidR="00E57347">
        <w:t xml:space="preserve"> </w:t>
      </w:r>
      <w:r w:rsidR="0068651D">
        <w:t xml:space="preserve">surprisingly </w:t>
      </w:r>
      <w:r w:rsidR="00B50344">
        <w:t xml:space="preserve">still </w:t>
      </w:r>
      <w:r w:rsidR="00E57347">
        <w:t>persisted until 1973</w:t>
      </w:r>
      <w:r w:rsidR="009F5E04">
        <w:t>;</w:t>
      </w:r>
      <w:r w:rsidR="00E57347">
        <w:rPr>
          <w:rStyle w:val="FootnoteReference"/>
        </w:rPr>
        <w:footnoteReference w:id="57"/>
      </w:r>
      <w:r w:rsidR="004C0B88">
        <w:t xml:space="preserve"> in the FC the delegate</w:t>
      </w:r>
      <w:r w:rsidR="00B50344">
        <w:t>s</w:t>
      </w:r>
      <w:r w:rsidR="004C0B88">
        <w:t xml:space="preserve"> from Germany </w:t>
      </w:r>
      <w:r w:rsidR="00B50344">
        <w:t>and the UK</w:t>
      </w:r>
      <w:r w:rsidR="0068651D">
        <w:t xml:space="preserve"> supported by the Chairman</w:t>
      </w:r>
      <w:r w:rsidR="00B50344">
        <w:t xml:space="preserve"> </w:t>
      </w:r>
      <w:r w:rsidR="0068651D">
        <w:t>(</w:t>
      </w:r>
      <w:proofErr w:type="spellStart"/>
      <w:r w:rsidR="0068651D">
        <w:t>Locher</w:t>
      </w:r>
      <w:proofErr w:type="spellEnd"/>
      <w:r w:rsidR="0068651D">
        <w:t xml:space="preserve">) </w:t>
      </w:r>
      <w:r w:rsidR="004C0B88">
        <w:t>suggested it be widened.</w:t>
      </w:r>
      <w:bookmarkStart w:id="8" w:name="_Ref82006316"/>
      <w:r w:rsidR="004C0B88">
        <w:rPr>
          <w:rStyle w:val="FootnoteReference"/>
        </w:rPr>
        <w:footnoteReference w:id="58"/>
      </w:r>
      <w:bookmarkEnd w:id="8"/>
      <w:r w:rsidR="004C0B88">
        <w:t xml:space="preserve"> T</w:t>
      </w:r>
      <w:r w:rsidRPr="00F95610">
        <w:t>he Delegate for Switzerland</w:t>
      </w:r>
      <w:r w:rsidR="009F5E04">
        <w:t>, as was often the case,</w:t>
      </w:r>
      <w:r w:rsidRPr="00F95610">
        <w:t xml:space="preserve"> </w:t>
      </w:r>
      <w:r>
        <w:t>saw the importance of these to the structure and ‘</w:t>
      </w:r>
      <w:r w:rsidRPr="00F95610">
        <w:t xml:space="preserve">pointed out that this paragraph contained two principles: firstly, it upheld the application of the law of the State which had the right to tax, and secondly, it provided a general clause applying to income which was not covered by other Articles, though it differed from the clause in Article </w:t>
      </w:r>
      <w:r>
        <w:t>[21]</w:t>
      </w:r>
      <w:r w:rsidRPr="00F95610">
        <w:t xml:space="preserve"> relating to residuary income which Working Party No. 14 had drawn up.</w:t>
      </w:r>
      <w:r>
        <w:t>’</w:t>
      </w:r>
      <w:r>
        <w:rPr>
          <w:rStyle w:val="FootnoteReference"/>
        </w:rPr>
        <w:footnoteReference w:id="59"/>
      </w:r>
      <w:r>
        <w:t xml:space="preserve"> </w:t>
      </w:r>
      <w:r w:rsidR="007D70CA">
        <w:t xml:space="preserve">Draft B(1) </w:t>
      </w:r>
      <w:r w:rsidR="00964A41">
        <w:t xml:space="preserve">was </w:t>
      </w:r>
      <w:r w:rsidR="002977AC">
        <w:t>deleted by the FC to remove the duplication.</w:t>
      </w:r>
      <w:bookmarkStart w:id="9" w:name="_Ref66078629"/>
      <w:r w:rsidR="002977AC">
        <w:rPr>
          <w:rStyle w:val="FootnoteReference"/>
        </w:rPr>
        <w:footnoteReference w:id="60"/>
      </w:r>
      <w:bookmarkEnd w:id="9"/>
    </w:p>
    <w:p w14:paraId="3A836684" w14:textId="5E1AE2D5" w:rsidR="004068DF" w:rsidRDefault="00CA157C" w:rsidP="00E02AA5">
      <w:pPr>
        <w:pStyle w:val="BodyText"/>
      </w:pPr>
      <w:r>
        <w:t xml:space="preserve">After the FC had discussed </w:t>
      </w:r>
      <w:proofErr w:type="spellStart"/>
      <w:r>
        <w:t>art</w:t>
      </w:r>
      <w:proofErr w:type="spellEnd"/>
      <w:r>
        <w:t xml:space="preserve"> 21 with the usual range of different views </w:t>
      </w:r>
      <w:r w:rsidR="00DF725D">
        <w:t xml:space="preserve">being expressed, </w:t>
      </w:r>
      <w:r>
        <w:t xml:space="preserve">including </w:t>
      </w:r>
      <w:r w:rsidR="004068DF">
        <w:t>a</w:t>
      </w:r>
      <w:r>
        <w:t xml:space="preserve"> UK proposal to include a ‘subject to tax’ provision which </w:t>
      </w:r>
      <w:r w:rsidR="006258E3">
        <w:t>proved</w:t>
      </w:r>
      <w:r w:rsidR="004068DF">
        <w:t xml:space="preserve"> to be</w:t>
      </w:r>
      <w:r>
        <w:t xml:space="preserve"> controversial</w:t>
      </w:r>
      <w:r w:rsidR="004068DF">
        <w:t xml:space="preserve"> even as an alternative in the Commentary</w:t>
      </w:r>
      <w:r>
        <w:t xml:space="preserve">, </w:t>
      </w:r>
      <w:proofErr w:type="spellStart"/>
      <w:r>
        <w:t>WP14</w:t>
      </w:r>
      <w:proofErr w:type="spellEnd"/>
      <w:r>
        <w:t xml:space="preserve"> toned down the suggestion of a general principle, changing </w:t>
      </w:r>
      <w:r w:rsidR="004068DF">
        <w:t xml:space="preserve">the Commentary </w:t>
      </w:r>
      <w:r>
        <w:t>to say ‘</w:t>
      </w:r>
      <w:r w:rsidRPr="00CA157C">
        <w:t>The aim of the provision</w:t>
      </w:r>
      <w:r>
        <w:t>…</w:t>
      </w:r>
      <w:r w:rsidRPr="00CA157C">
        <w:t xml:space="preserve">is to give </w:t>
      </w:r>
      <w:bookmarkStart w:id="10" w:name="_Hlk60924079"/>
      <w:r w:rsidRPr="00CA157C">
        <w:rPr>
          <w:i/>
          <w:iCs/>
        </w:rPr>
        <w:t xml:space="preserve">for purposes of simplification </w:t>
      </w:r>
      <w:bookmarkEnd w:id="10"/>
      <w:r w:rsidRPr="00CA157C">
        <w:t xml:space="preserve">a general rule relating to the </w:t>
      </w:r>
      <w:r w:rsidRPr="00CA157C">
        <w:lastRenderedPageBreak/>
        <w:t>residuary field of items of income not expressly mentioned</w:t>
      </w:r>
      <w:r>
        <w:t>…’.</w:t>
      </w:r>
      <w:r>
        <w:rPr>
          <w:rStyle w:val="FootnoteReference"/>
        </w:rPr>
        <w:footnoteReference w:id="61"/>
      </w:r>
      <w:r w:rsidR="004068DF">
        <w:t xml:space="preserve"> But the FC restored it by deleting the words in italics.</w:t>
      </w:r>
      <w:r w:rsidR="004068DF">
        <w:rPr>
          <w:rStyle w:val="FootnoteReference"/>
        </w:rPr>
        <w:footnoteReference w:id="62"/>
      </w:r>
      <w:r w:rsidR="004068DF">
        <w:t xml:space="preserve"> </w:t>
      </w:r>
      <w:r w:rsidR="002977AC">
        <w:t>When</w:t>
      </w:r>
      <w:r w:rsidR="007D70CA">
        <w:t xml:space="preserve"> </w:t>
      </w:r>
      <w:r w:rsidR="002977AC">
        <w:t>art 21</w:t>
      </w:r>
      <w:r w:rsidR="007D70CA">
        <w:t xml:space="preserve"> was discussed it </w:t>
      </w:r>
      <w:r w:rsidR="00DD101F">
        <w:t>was</w:t>
      </w:r>
      <w:r w:rsidR="007D70CA">
        <w:t xml:space="preserve"> </w:t>
      </w:r>
      <w:r w:rsidR="00F362D4">
        <w:t xml:space="preserve">thought to deal </w:t>
      </w:r>
      <w:r w:rsidR="000B5BDE">
        <w:t xml:space="preserve">only </w:t>
      </w:r>
      <w:r w:rsidR="00F362D4">
        <w:t>with income of a different type rather than of a different source</w:t>
      </w:r>
      <w:r w:rsidR="004068DF">
        <w:t xml:space="preserve"> and so its </w:t>
      </w:r>
      <w:r w:rsidR="00DF725D">
        <w:t xml:space="preserve">full </w:t>
      </w:r>
      <w:r w:rsidR="004068DF">
        <w:t>importance was not recognised</w:t>
      </w:r>
      <w:r w:rsidR="00F362D4">
        <w:t xml:space="preserve">. </w:t>
      </w:r>
      <w:r w:rsidR="002977AC">
        <w:t xml:space="preserve">During the preparation of the </w:t>
      </w:r>
      <w:r w:rsidR="00F362D4">
        <w:t xml:space="preserve">1977 </w:t>
      </w:r>
      <w:r w:rsidR="00DF725D">
        <w:t>M</w:t>
      </w:r>
      <w:r w:rsidR="00F362D4">
        <w:t xml:space="preserve">odel the Working Group </w:t>
      </w:r>
      <w:r w:rsidR="00F85BD9">
        <w:t xml:space="preserve">then responsible for Art 21 </w:t>
      </w:r>
      <w:r w:rsidR="00F362D4">
        <w:t xml:space="preserve">thought </w:t>
      </w:r>
      <w:r w:rsidR="000B5BDE">
        <w:t>as late as</w:t>
      </w:r>
      <w:r w:rsidR="00F362D4">
        <w:t xml:space="preserve"> 1973 that </w:t>
      </w:r>
      <w:r w:rsidR="002977AC">
        <w:t>art 21</w:t>
      </w:r>
      <w:r w:rsidR="00F362D4">
        <w:t xml:space="preserve"> did not cover third state source income until the words ‘wherever arising’ </w:t>
      </w:r>
      <w:r w:rsidR="00DF725D">
        <w:t xml:space="preserve">were added to </w:t>
      </w:r>
      <w:r w:rsidR="00F362D4">
        <w:t>art 21</w:t>
      </w:r>
      <w:r w:rsidR="00DF725D">
        <w:t xml:space="preserve"> on their recommendation</w:t>
      </w:r>
      <w:r w:rsidR="00F362D4">
        <w:t>.</w:t>
      </w:r>
      <w:r w:rsidR="00F362D4">
        <w:rPr>
          <w:rStyle w:val="FootnoteReference"/>
        </w:rPr>
        <w:footnoteReference w:id="63"/>
      </w:r>
      <w:r w:rsidR="00F362D4">
        <w:t xml:space="preserve"> </w:t>
      </w:r>
    </w:p>
    <w:p w14:paraId="5495D143" w14:textId="204E7380" w:rsidR="00EA3A4E" w:rsidRDefault="00EA3A4E" w:rsidP="00EA3A4E">
      <w:pPr>
        <w:pStyle w:val="BodyText"/>
        <w:rPr>
          <w:lang w:val="en-AU"/>
        </w:rPr>
      </w:pPr>
      <w:r>
        <w:rPr>
          <w:lang w:val="en-AU"/>
        </w:rPr>
        <w:t xml:space="preserve">An interesting development in connection with the </w:t>
      </w:r>
      <w:r w:rsidRPr="00EA3A4E">
        <w:rPr>
          <w:lang w:val="en-AU"/>
        </w:rPr>
        <w:t>Third</w:t>
      </w:r>
      <w:r>
        <w:rPr>
          <w:lang w:val="en-AU"/>
        </w:rPr>
        <w:t xml:space="preserve"> Report was that:</w:t>
      </w:r>
      <w:r>
        <w:rPr>
          <w:rStyle w:val="FootnoteReference"/>
          <w:lang w:val="en-AU"/>
        </w:rPr>
        <w:footnoteReference w:id="64"/>
      </w:r>
    </w:p>
    <w:p w14:paraId="74415833" w14:textId="2B64C993" w:rsidR="00EA3A4E" w:rsidRPr="00EA3A4E" w:rsidRDefault="00EA3A4E" w:rsidP="00EA3A4E">
      <w:pPr>
        <w:pStyle w:val="BodyTextIndent"/>
        <w:rPr>
          <w:lang w:val="en-AU"/>
        </w:rPr>
      </w:pPr>
      <w:r w:rsidRPr="00EA3A4E">
        <w:rPr>
          <w:lang w:val="en-AU"/>
        </w:rPr>
        <w:t>The Chairman asked Working Parties Nos. 8, 11, 12 [arts 10-12] and 15 to hold a joint meeting … to discuss the harmonization of the Articles and Commentaries. The Chairman asked each Working Party to examine carefully the Articles drafted by the other Working Parties. He suggested that the commentaries should be drawn up in accordance with a uniform plan: (1) current taxation systems; (2) characteristics of the Article; (3) commentary; (4) reservations.</w:t>
      </w:r>
    </w:p>
    <w:p w14:paraId="39D0B158" w14:textId="530B39CB" w:rsidR="00B27EDB" w:rsidRDefault="00B27EDB" w:rsidP="009C4695">
      <w:pPr>
        <w:pStyle w:val="BodyText"/>
        <w:rPr>
          <w:lang w:val="en-AU"/>
        </w:rPr>
      </w:pPr>
      <w:r>
        <w:rPr>
          <w:lang w:val="en-AU"/>
        </w:rPr>
        <w:t xml:space="preserve">There does not seem to be any </w:t>
      </w:r>
      <w:r w:rsidR="00F55C19">
        <w:rPr>
          <w:lang w:val="en-AU"/>
        </w:rPr>
        <w:t xml:space="preserve">formal </w:t>
      </w:r>
      <w:r>
        <w:rPr>
          <w:lang w:val="en-AU"/>
        </w:rPr>
        <w:t>record of the joint meeting and the various WPs continued to report separately to the FC</w:t>
      </w:r>
      <w:r w:rsidR="00F85BD9">
        <w:rPr>
          <w:lang w:val="en-AU"/>
        </w:rPr>
        <w:t xml:space="preserve"> but the meeting may have harmonised </w:t>
      </w:r>
      <w:r w:rsidR="006258E3">
        <w:rPr>
          <w:lang w:val="en-AU"/>
        </w:rPr>
        <w:t xml:space="preserve">the drafting of </w:t>
      </w:r>
      <w:r w:rsidR="00F85BD9">
        <w:rPr>
          <w:lang w:val="en-AU"/>
        </w:rPr>
        <w:t>these articles</w:t>
      </w:r>
      <w:r w:rsidR="00DF725D">
        <w:rPr>
          <w:lang w:val="en-AU"/>
        </w:rPr>
        <w:t>.</w:t>
      </w:r>
      <w:r>
        <w:rPr>
          <w:lang w:val="en-AU"/>
        </w:rPr>
        <w:t xml:space="preserve"> </w:t>
      </w:r>
    </w:p>
    <w:p w14:paraId="1EDF77A8" w14:textId="6096C91D" w:rsidR="009C4695" w:rsidRPr="009C4695" w:rsidRDefault="009C4695" w:rsidP="009C4695">
      <w:pPr>
        <w:pStyle w:val="BodyText"/>
        <w:rPr>
          <w:lang w:val="en-AU"/>
        </w:rPr>
      </w:pPr>
      <w:r w:rsidRPr="009C4695">
        <w:rPr>
          <w:lang w:val="en-AU"/>
        </w:rPr>
        <w:t xml:space="preserve">The FC then turned to </w:t>
      </w:r>
      <w:proofErr w:type="spellStart"/>
      <w:r w:rsidRPr="009C4695">
        <w:rPr>
          <w:lang w:val="en-AU"/>
        </w:rPr>
        <w:t>WP14’s</w:t>
      </w:r>
      <w:proofErr w:type="spellEnd"/>
      <w:r w:rsidRPr="009C4695">
        <w:rPr>
          <w:lang w:val="en-AU"/>
        </w:rPr>
        <w:t xml:space="preserve"> unfinished work, specifically the article on definitions, </w:t>
      </w:r>
      <w:r w:rsidR="001B5F72">
        <w:rPr>
          <w:lang w:val="en-AU"/>
        </w:rPr>
        <w:t xml:space="preserve">which </w:t>
      </w:r>
      <w:r>
        <w:rPr>
          <w:lang w:val="en-AU"/>
        </w:rPr>
        <w:t xml:space="preserve">extraordinarily </w:t>
      </w:r>
      <w:r w:rsidR="002804F8">
        <w:rPr>
          <w:lang w:val="en-AU"/>
        </w:rPr>
        <w:t xml:space="preserve">had </w:t>
      </w:r>
      <w:r w:rsidR="001B5F72">
        <w:rPr>
          <w:lang w:val="en-AU"/>
        </w:rPr>
        <w:t xml:space="preserve">been </w:t>
      </w:r>
      <w:r>
        <w:rPr>
          <w:lang w:val="en-AU"/>
        </w:rPr>
        <w:t>left to this late sta</w:t>
      </w:r>
      <w:r w:rsidR="001B5F72">
        <w:rPr>
          <w:lang w:val="en-AU"/>
        </w:rPr>
        <w:t>g</w:t>
      </w:r>
      <w:r>
        <w:rPr>
          <w:lang w:val="en-AU"/>
        </w:rPr>
        <w:t xml:space="preserve">e, </w:t>
      </w:r>
      <w:r w:rsidRPr="009C4695">
        <w:rPr>
          <w:lang w:val="en-AU"/>
        </w:rPr>
        <w:t>based on its further report on that topic.</w:t>
      </w:r>
      <w:r>
        <w:rPr>
          <w:rStyle w:val="FootnoteReference"/>
          <w:lang w:val="en-AU"/>
        </w:rPr>
        <w:footnoteReference w:id="65"/>
      </w:r>
      <w:r w:rsidRPr="009C4695">
        <w:rPr>
          <w:lang w:val="en-AU"/>
        </w:rPr>
        <w:t xml:space="preserve"> The report provided nine definitions for consideration</w:t>
      </w:r>
      <w:r w:rsidR="00C94A8A">
        <w:rPr>
          <w:lang w:val="en-AU"/>
        </w:rPr>
        <w:t xml:space="preserve"> of which the following raised structural issues</w:t>
      </w:r>
      <w:r w:rsidRPr="009C4695">
        <w:rPr>
          <w:lang w:val="en-AU"/>
        </w:rPr>
        <w:t>:</w:t>
      </w:r>
    </w:p>
    <w:p w14:paraId="7DFE2339" w14:textId="5C64889A" w:rsidR="009C4695" w:rsidRPr="009C4695" w:rsidRDefault="003D6359" w:rsidP="00C94A8A">
      <w:pPr>
        <w:pStyle w:val="BodyText"/>
        <w:rPr>
          <w:lang w:val="en-AU"/>
        </w:rPr>
      </w:pPr>
      <w:r>
        <w:rPr>
          <w:i/>
          <w:iCs/>
          <w:lang w:val="en-AU"/>
        </w:rPr>
        <w:t>Contracting State</w:t>
      </w:r>
      <w:r w:rsidR="00C94A8A">
        <w:rPr>
          <w:lang w:val="en-AU"/>
        </w:rPr>
        <w:t xml:space="preserve">. </w:t>
      </w:r>
      <w:r w:rsidR="009C4695" w:rsidRPr="009C4695">
        <w:rPr>
          <w:lang w:val="en-AU"/>
        </w:rPr>
        <w:t xml:space="preserve">As presaged in the territorial extension article, two largely blank definitions in geographical terms (one for each state) were proposed which go to the scope of the treaty and have been an important issue from the </w:t>
      </w:r>
      <w:proofErr w:type="spellStart"/>
      <w:r w:rsidR="009C4695" w:rsidRPr="009C4695">
        <w:rPr>
          <w:lang w:val="en-AU"/>
        </w:rPr>
        <w:t>1970s</w:t>
      </w:r>
      <w:proofErr w:type="spellEnd"/>
      <w:r w:rsidR="009C4695" w:rsidRPr="009C4695">
        <w:rPr>
          <w:lang w:val="en-AU"/>
        </w:rPr>
        <w:t xml:space="preserve"> as offshore oil and gas production has increased. </w:t>
      </w:r>
      <w:r w:rsidR="00C94A8A">
        <w:t>At the June meeting the FC relegated the geographical definition to the Commentary and the Chair left over the definition of (other) Contracting State as a drafting matter (presumably to be taken up in the integration stage).</w:t>
      </w:r>
      <w:r w:rsidR="00C94A8A">
        <w:rPr>
          <w:rStyle w:val="FootnoteReference"/>
        </w:rPr>
        <w:footnoteReference w:id="66"/>
      </w:r>
    </w:p>
    <w:p w14:paraId="199A2E95" w14:textId="04C10A08" w:rsidR="009C4695" w:rsidRPr="009C4695" w:rsidRDefault="00C94A8A" w:rsidP="00C94A8A">
      <w:pPr>
        <w:pStyle w:val="BodyText"/>
        <w:rPr>
          <w:lang w:val="en-AU"/>
        </w:rPr>
      </w:pPr>
      <w:r>
        <w:rPr>
          <w:i/>
          <w:iCs/>
          <w:lang w:val="en-AU"/>
        </w:rPr>
        <w:t>P</w:t>
      </w:r>
      <w:r w:rsidRPr="00C94A8A">
        <w:rPr>
          <w:i/>
          <w:iCs/>
          <w:lang w:val="en-AU"/>
        </w:rPr>
        <w:t>erson and company</w:t>
      </w:r>
      <w:r>
        <w:rPr>
          <w:lang w:val="en-AU"/>
        </w:rPr>
        <w:t xml:space="preserve">. </w:t>
      </w:r>
      <w:r w:rsidR="009C4695" w:rsidRPr="009C4695">
        <w:rPr>
          <w:lang w:val="en-AU"/>
        </w:rPr>
        <w:t xml:space="preserve">Another now very topical structural issue, the tax treaty treatment of various kinds of legal entities was also tackled through the two definitions of </w:t>
      </w:r>
      <w:r w:rsidR="009C4695">
        <w:rPr>
          <w:lang w:val="en-AU"/>
        </w:rPr>
        <w:t>‘</w:t>
      </w:r>
      <w:r w:rsidR="009C4695" w:rsidRPr="009C4695">
        <w:rPr>
          <w:lang w:val="en-AU"/>
        </w:rPr>
        <w:t>person</w:t>
      </w:r>
      <w:r w:rsidR="009C4695">
        <w:rPr>
          <w:lang w:val="en-AU"/>
        </w:rPr>
        <w:t>’</w:t>
      </w:r>
      <w:r w:rsidR="009C4695" w:rsidRPr="009C4695">
        <w:rPr>
          <w:lang w:val="en-AU"/>
        </w:rPr>
        <w:t xml:space="preserve"> and </w:t>
      </w:r>
      <w:r w:rsidR="009C4695">
        <w:rPr>
          <w:lang w:val="en-AU"/>
        </w:rPr>
        <w:t>‘</w:t>
      </w:r>
      <w:r w:rsidR="009C4695" w:rsidRPr="009C4695">
        <w:rPr>
          <w:lang w:val="en-AU"/>
        </w:rPr>
        <w:t>company,</w:t>
      </w:r>
      <w:r w:rsidR="009C4695">
        <w:rPr>
          <w:lang w:val="en-AU"/>
        </w:rPr>
        <w:t>’</w:t>
      </w:r>
      <w:r w:rsidR="009C4695" w:rsidRPr="009C4695">
        <w:rPr>
          <w:lang w:val="en-AU"/>
        </w:rPr>
        <w:t xml:space="preserve"> the draft commentary focusing on solving different treatment under national non-tax and tax law.</w:t>
      </w:r>
      <w:r w:rsidR="001B5F72">
        <w:rPr>
          <w:rStyle w:val="FootnoteReference"/>
          <w:lang w:val="en-AU"/>
        </w:rPr>
        <w:footnoteReference w:id="67"/>
      </w:r>
      <w:r w:rsidR="009C4695" w:rsidRPr="009C4695">
        <w:rPr>
          <w:lang w:val="en-AU"/>
        </w:rPr>
        <w:t xml:space="preserve"> </w:t>
      </w:r>
      <w:r w:rsidR="00B765FC">
        <w:rPr>
          <w:lang w:val="en-AU"/>
        </w:rPr>
        <w:t>The definition of ‘company’ is important as the dividend article applies to dividends paid by a company.</w:t>
      </w:r>
      <w:r w:rsidR="00B765FC">
        <w:rPr>
          <w:rStyle w:val="FootnoteReference"/>
          <w:lang w:val="en-AU"/>
        </w:rPr>
        <w:footnoteReference w:id="68"/>
      </w:r>
      <w:r w:rsidR="00B765FC">
        <w:rPr>
          <w:lang w:val="en-AU"/>
        </w:rPr>
        <w:t xml:space="preserve"> </w:t>
      </w:r>
      <w:r w:rsidR="009C4695" w:rsidRPr="009C4695">
        <w:rPr>
          <w:lang w:val="en-AU"/>
        </w:rPr>
        <w:t xml:space="preserve">Relatedly and an odd contrast, no </w:t>
      </w:r>
      <w:r w:rsidR="009C4695" w:rsidRPr="009C4695">
        <w:rPr>
          <w:lang w:val="en-AU"/>
        </w:rPr>
        <w:lastRenderedPageBreak/>
        <w:t xml:space="preserve">definition of </w:t>
      </w:r>
      <w:r w:rsidR="009C4695">
        <w:rPr>
          <w:lang w:val="en-AU"/>
        </w:rPr>
        <w:t>‘</w:t>
      </w:r>
      <w:r w:rsidR="009C4695" w:rsidRPr="009C4695">
        <w:rPr>
          <w:lang w:val="en-AU"/>
        </w:rPr>
        <w:t>enterprise</w:t>
      </w:r>
      <w:r w:rsidR="009C4695">
        <w:rPr>
          <w:lang w:val="en-AU"/>
        </w:rPr>
        <w:t>’</w:t>
      </w:r>
      <w:r w:rsidR="009C4695" w:rsidRPr="009C4695">
        <w:rPr>
          <w:lang w:val="en-AU"/>
        </w:rPr>
        <w:t xml:space="preserve"> was provided on the basis of treaty practice, leaving it to domestic law which was known to differ from one country to another </w:t>
      </w:r>
      <w:r w:rsidR="00010B82">
        <w:rPr>
          <w:lang w:val="en-AU"/>
        </w:rPr>
        <w:t xml:space="preserve">(and common law countries did not use the expression), </w:t>
      </w:r>
      <w:r w:rsidR="009C4695" w:rsidRPr="009C4695">
        <w:rPr>
          <w:lang w:val="en-AU"/>
        </w:rPr>
        <w:t xml:space="preserve">though an </w:t>
      </w:r>
      <w:r w:rsidR="009C4695">
        <w:rPr>
          <w:lang w:val="en-AU"/>
        </w:rPr>
        <w:t>‘</w:t>
      </w:r>
      <w:r w:rsidR="009C4695" w:rsidRPr="009C4695">
        <w:rPr>
          <w:lang w:val="en-AU"/>
        </w:rPr>
        <w:t>enterprise of a Contracting State</w:t>
      </w:r>
      <w:r w:rsidR="009C4695">
        <w:rPr>
          <w:lang w:val="en-AU"/>
        </w:rPr>
        <w:t>’</w:t>
      </w:r>
      <w:r w:rsidR="009C4695" w:rsidRPr="009C4695">
        <w:rPr>
          <w:lang w:val="en-AU"/>
        </w:rPr>
        <w:t xml:space="preserve"> was the subject of a separate definition.</w:t>
      </w:r>
      <w:r w:rsidR="009C4695">
        <w:rPr>
          <w:rStyle w:val="FootnoteReference"/>
          <w:lang w:val="en-AU"/>
        </w:rPr>
        <w:footnoteReference w:id="69"/>
      </w:r>
      <w:r w:rsidRPr="00C94A8A">
        <w:t xml:space="preserve"> </w:t>
      </w:r>
      <w:proofErr w:type="spellStart"/>
      <w:r>
        <w:t>WP14</w:t>
      </w:r>
      <w:proofErr w:type="spellEnd"/>
      <w:r>
        <w:t xml:space="preserve"> was asked to consider the definitions of person, company and profits further.</w:t>
      </w:r>
      <w:r>
        <w:rPr>
          <w:rStyle w:val="FootnoteReference"/>
        </w:rPr>
        <w:footnoteReference w:id="70"/>
      </w:r>
      <w:r>
        <w:t xml:space="preserve"> The discussions on this issue continued during the </w:t>
      </w:r>
      <w:r w:rsidR="003D6359">
        <w:t>preparation of the 1963 Draft as a whole.</w:t>
      </w:r>
    </w:p>
    <w:p w14:paraId="1ABE9B09" w14:textId="3642A9A3" w:rsidR="004322D3" w:rsidRDefault="007A315A" w:rsidP="004322D3">
      <w:pPr>
        <w:pStyle w:val="BodyText"/>
        <w:rPr>
          <w:lang w:val="en-AU"/>
        </w:rPr>
      </w:pPr>
      <w:r w:rsidRPr="00A640CD">
        <w:rPr>
          <w:lang w:val="en-AU"/>
        </w:rPr>
        <w:t xml:space="preserve">The FC then considered the definitions article based on a new report from </w:t>
      </w:r>
      <w:proofErr w:type="spellStart"/>
      <w:r w:rsidRPr="00A640CD">
        <w:rPr>
          <w:lang w:val="en-AU"/>
        </w:rPr>
        <w:t>WP14</w:t>
      </w:r>
      <w:proofErr w:type="spellEnd"/>
      <w:r w:rsidRPr="00A640CD">
        <w:rPr>
          <w:lang w:val="en-AU"/>
        </w:rPr>
        <w:t xml:space="preserve"> dealing with the definitions of person, company and profits, which took up most of the meeting.</w:t>
      </w:r>
      <w:r w:rsidR="004322D3">
        <w:rPr>
          <w:rStyle w:val="FootnoteReference"/>
          <w:lang w:val="en-AU"/>
        </w:rPr>
        <w:footnoteReference w:id="71"/>
      </w:r>
      <w:r w:rsidRPr="00A640CD">
        <w:rPr>
          <w:lang w:val="en-AU"/>
        </w:rPr>
        <w:t xml:space="preserve"> </w:t>
      </w:r>
      <w:proofErr w:type="spellStart"/>
      <w:r w:rsidRPr="00A640CD">
        <w:rPr>
          <w:lang w:val="en-AU"/>
        </w:rPr>
        <w:t>WP14</w:t>
      </w:r>
      <w:proofErr w:type="spellEnd"/>
      <w:r w:rsidRPr="00A640CD">
        <w:rPr>
          <w:lang w:val="en-AU"/>
        </w:rPr>
        <w:t xml:space="preserve"> in its report looked squarely at the structural issues involving the first two definitions. It looked at all usages of the terms in currently approved articles and using many examples similar to the </w:t>
      </w:r>
      <w:r w:rsidR="00BD145E">
        <w:rPr>
          <w:lang w:val="en-AU"/>
        </w:rPr>
        <w:t xml:space="preserve">much later 1999 </w:t>
      </w:r>
      <w:r w:rsidRPr="00A640CD">
        <w:rPr>
          <w:lang w:val="en-AU"/>
        </w:rPr>
        <w:t>Partnership Report</w:t>
      </w:r>
      <w:r w:rsidR="00BD145E">
        <w:rPr>
          <w:rStyle w:val="FootnoteReference"/>
          <w:lang w:val="en-AU"/>
        </w:rPr>
        <w:footnoteReference w:id="72"/>
      </w:r>
      <w:r w:rsidRPr="00A640CD">
        <w:rPr>
          <w:lang w:val="en-AU"/>
        </w:rPr>
        <w:t xml:space="preserve"> showed how it was difficult to come up with a solution that produced the right answer in all cases, concluding that it was probably best to have partnerships treated as persons (for agency PE purposes) but not as companies unless they were so treated under domestic law of the state of formation </w:t>
      </w:r>
      <w:r w:rsidR="005356AA">
        <w:rPr>
          <w:lang w:val="en-AU"/>
        </w:rPr>
        <w:t>n</w:t>
      </w:r>
      <w:r w:rsidRPr="00A640CD">
        <w:rPr>
          <w:lang w:val="en-AU"/>
        </w:rPr>
        <w:t xml:space="preserve">or </w:t>
      </w:r>
      <w:r w:rsidR="005356AA">
        <w:rPr>
          <w:lang w:val="en-AU"/>
        </w:rPr>
        <w:t xml:space="preserve">as </w:t>
      </w:r>
      <w:r w:rsidRPr="00A640CD">
        <w:rPr>
          <w:lang w:val="en-AU"/>
        </w:rPr>
        <w:t>residents (requiring a change to the existing draft of art 4), the difference being driven on the one ha</w:t>
      </w:r>
      <w:r w:rsidR="007B2871">
        <w:rPr>
          <w:lang w:val="en-AU"/>
        </w:rPr>
        <w:t>n</w:t>
      </w:r>
      <w:r w:rsidRPr="00A640CD">
        <w:rPr>
          <w:lang w:val="en-AU"/>
        </w:rPr>
        <w:t xml:space="preserve">d by the need for a broad meaning of person because of its broad usage but a more specific meaning of company primarily driven by its use in art 10. </w:t>
      </w:r>
      <w:r w:rsidR="004322D3" w:rsidRPr="00A640CD">
        <w:rPr>
          <w:lang w:val="en-AU"/>
        </w:rPr>
        <w:t xml:space="preserve">The FC discussion of the person and company definition drafts covered a broad range of views from a narrow meaning of person (Germany) to a broad meaning (UK – both countries considered the commentary should provide for any problems to be solved in bilateral negotiations), and the cross-over with the definition of profits </w:t>
      </w:r>
      <w:r w:rsidR="004322D3">
        <w:rPr>
          <w:lang w:val="en-AU"/>
        </w:rPr>
        <w:t xml:space="preserve">(see next heading) </w:t>
      </w:r>
      <w:r w:rsidR="004322D3" w:rsidRPr="00A640CD">
        <w:rPr>
          <w:lang w:val="en-AU"/>
        </w:rPr>
        <w:t>and the PE exception in arts 10-12.</w:t>
      </w:r>
      <w:r w:rsidR="00BD145E">
        <w:rPr>
          <w:rStyle w:val="FootnoteReference"/>
          <w:lang w:val="en-AU"/>
        </w:rPr>
        <w:footnoteReference w:id="73"/>
      </w:r>
      <w:r w:rsidR="004322D3" w:rsidRPr="00A640CD">
        <w:rPr>
          <w:lang w:val="en-AU"/>
        </w:rPr>
        <w:t xml:space="preserve"> </w:t>
      </w:r>
      <w:r w:rsidR="004322D3">
        <w:rPr>
          <w:lang w:val="en-AU"/>
        </w:rPr>
        <w:t>The Chair</w:t>
      </w:r>
      <w:r w:rsidR="004322D3" w:rsidRPr="00A640CD">
        <w:rPr>
          <w:lang w:val="en-AU"/>
        </w:rPr>
        <w:t xml:space="preserve"> also considered that as a majority treated partnerships as transparent, the drafting should work on that basis and an amendment to the current draft residence definition </w:t>
      </w:r>
      <w:r w:rsidR="004322D3" w:rsidRPr="00737446">
        <w:rPr>
          <w:lang w:val="en-AU"/>
        </w:rPr>
        <w:t xml:space="preserve">that had been published in the First Report </w:t>
      </w:r>
      <w:r w:rsidR="004322D3" w:rsidRPr="00A640CD">
        <w:rPr>
          <w:lang w:val="en-AU"/>
        </w:rPr>
        <w:t>was required.</w:t>
      </w:r>
    </w:p>
    <w:p w14:paraId="012688CF" w14:textId="719C1B74" w:rsidR="007A315A" w:rsidRDefault="007A315A" w:rsidP="007A315A">
      <w:pPr>
        <w:pStyle w:val="BodyText"/>
        <w:rPr>
          <w:lang w:val="en-AU"/>
        </w:rPr>
      </w:pPr>
      <w:r w:rsidRPr="00BB5B56">
        <w:rPr>
          <w:lang w:val="en-AU"/>
        </w:rPr>
        <w:t xml:space="preserve">For the next FC meeting in January 1962 there was a fresh report from </w:t>
      </w:r>
      <w:proofErr w:type="spellStart"/>
      <w:r w:rsidRPr="00BB5B56">
        <w:rPr>
          <w:lang w:val="en-AU"/>
        </w:rPr>
        <w:t>WP14</w:t>
      </w:r>
      <w:proofErr w:type="spellEnd"/>
      <w:r w:rsidRPr="00BB5B56">
        <w:rPr>
          <w:lang w:val="en-AU"/>
        </w:rPr>
        <w:t xml:space="preserve"> on definitions.</w:t>
      </w:r>
      <w:r>
        <w:rPr>
          <w:rStyle w:val="FootnoteReference"/>
          <w:lang w:val="en-AU"/>
        </w:rPr>
        <w:footnoteReference w:id="74"/>
      </w:r>
      <w:r w:rsidRPr="00BB5B56">
        <w:rPr>
          <w:lang w:val="en-AU"/>
        </w:rPr>
        <w:t xml:space="preserve"> It maintained the existing drafting for the definitions of person and company and elaborated its September report to argue for the same position (with significant similarities to the Partnership Report). </w:t>
      </w:r>
      <w:r w:rsidR="009817FE" w:rsidRPr="00BB5B56">
        <w:rPr>
          <w:lang w:val="en-AU"/>
        </w:rPr>
        <w:t xml:space="preserve">The </w:t>
      </w:r>
      <w:r w:rsidR="009817FE">
        <w:rPr>
          <w:lang w:val="en-AU"/>
        </w:rPr>
        <w:t xml:space="preserve">FC settled the </w:t>
      </w:r>
      <w:r w:rsidR="009817FE" w:rsidRPr="00BB5B56">
        <w:rPr>
          <w:lang w:val="en-AU"/>
        </w:rPr>
        <w:t xml:space="preserve">definition of person in its current form and the definition of company </w:t>
      </w:r>
      <w:r w:rsidR="007B2871">
        <w:rPr>
          <w:lang w:val="en-AU"/>
        </w:rPr>
        <w:t xml:space="preserve">was </w:t>
      </w:r>
      <w:r w:rsidR="009817FE" w:rsidRPr="00BB5B56">
        <w:rPr>
          <w:lang w:val="en-AU"/>
        </w:rPr>
        <w:t xml:space="preserve">not discussed. It was decided to change art 4(3) to refer to </w:t>
      </w:r>
      <w:r w:rsidR="009817FE">
        <w:rPr>
          <w:lang w:val="en-AU"/>
        </w:rPr>
        <w:t>‘</w:t>
      </w:r>
      <w:r w:rsidR="009817FE" w:rsidRPr="00BB5B56">
        <w:rPr>
          <w:lang w:val="en-AU"/>
        </w:rPr>
        <w:t>a person other than an individual</w:t>
      </w:r>
      <w:r w:rsidR="009817FE">
        <w:rPr>
          <w:lang w:val="en-AU"/>
        </w:rPr>
        <w:t xml:space="preserve">’ rather than ‘legal person’ </w:t>
      </w:r>
      <w:r w:rsidR="009817FE" w:rsidRPr="00BB5B56">
        <w:rPr>
          <w:lang w:val="en-AU"/>
        </w:rPr>
        <w:t xml:space="preserve">and </w:t>
      </w:r>
      <w:r w:rsidR="009817FE">
        <w:rPr>
          <w:lang w:val="en-AU"/>
        </w:rPr>
        <w:t xml:space="preserve">to </w:t>
      </w:r>
      <w:r w:rsidR="009817FE" w:rsidRPr="009817FE">
        <w:rPr>
          <w:lang w:val="en-AU"/>
        </w:rPr>
        <w:t>delet</w:t>
      </w:r>
      <w:r w:rsidR="009817FE">
        <w:rPr>
          <w:lang w:val="en-AU"/>
        </w:rPr>
        <w:t>e</w:t>
      </w:r>
      <w:r w:rsidR="009817FE" w:rsidRPr="009817FE">
        <w:rPr>
          <w:lang w:val="en-AU"/>
        </w:rPr>
        <w:t xml:space="preserve"> its second sentence on partnerships</w:t>
      </w:r>
      <w:r w:rsidR="009817FE" w:rsidRPr="00BB5B56">
        <w:rPr>
          <w:lang w:val="en-AU"/>
        </w:rPr>
        <w:t>.</w:t>
      </w:r>
      <w:r w:rsidR="009817FE">
        <w:rPr>
          <w:rStyle w:val="FootnoteReference"/>
          <w:lang w:val="en-AU"/>
        </w:rPr>
        <w:footnoteReference w:id="75"/>
      </w:r>
    </w:p>
    <w:p w14:paraId="673CB2C6" w14:textId="43DB843C" w:rsidR="00C25E7E" w:rsidRDefault="00C94A8A" w:rsidP="00C94A8A">
      <w:pPr>
        <w:pStyle w:val="BodyText"/>
        <w:rPr>
          <w:lang w:val="en-AU"/>
        </w:rPr>
      </w:pPr>
      <w:r w:rsidRPr="00C94A8A">
        <w:rPr>
          <w:i/>
          <w:iCs/>
          <w:lang w:val="en-AU"/>
        </w:rPr>
        <w:lastRenderedPageBreak/>
        <w:t>Profits</w:t>
      </w:r>
      <w:r>
        <w:rPr>
          <w:lang w:val="en-AU"/>
        </w:rPr>
        <w:t xml:space="preserve">. </w:t>
      </w:r>
      <w:r w:rsidR="009C4695" w:rsidRPr="009C4695">
        <w:rPr>
          <w:lang w:val="en-AU"/>
        </w:rPr>
        <w:t xml:space="preserve">The definition of </w:t>
      </w:r>
      <w:r w:rsidR="009C4695">
        <w:rPr>
          <w:lang w:val="en-AU"/>
        </w:rPr>
        <w:t>‘</w:t>
      </w:r>
      <w:r w:rsidR="009C4695" w:rsidRPr="009C4695">
        <w:rPr>
          <w:lang w:val="en-AU"/>
        </w:rPr>
        <w:t>profits</w:t>
      </w:r>
      <w:r w:rsidR="009C4695">
        <w:rPr>
          <w:lang w:val="en-AU"/>
        </w:rPr>
        <w:t>’</w:t>
      </w:r>
      <w:r w:rsidR="009C4695" w:rsidRPr="009C4695">
        <w:rPr>
          <w:lang w:val="en-AU"/>
        </w:rPr>
        <w:t xml:space="preserve"> proposed a wide meaning to include the letting and alienation of an enterprise. Although coming from another direction, one of the critical interactions among treaty distributive rules already discussed earlier in the meeting on the </w:t>
      </w:r>
      <w:r w:rsidR="006D14BA">
        <w:rPr>
          <w:lang w:val="en-AU"/>
        </w:rPr>
        <w:t>F</w:t>
      </w:r>
      <w:r w:rsidR="009C4695" w:rsidRPr="009C4695">
        <w:rPr>
          <w:lang w:val="en-AU"/>
        </w:rPr>
        <w:t xml:space="preserve">ourth </w:t>
      </w:r>
      <w:r w:rsidR="006D14BA">
        <w:rPr>
          <w:lang w:val="en-AU"/>
        </w:rPr>
        <w:t>R</w:t>
      </w:r>
      <w:r w:rsidR="009C4695" w:rsidRPr="009C4695">
        <w:rPr>
          <w:lang w:val="en-AU"/>
        </w:rPr>
        <w:t xml:space="preserve">eport – what happens when income covered by a specific articles apart from art 7 also constitutes profits of an enterprise (the priority issue) – was proposed to be solved by a definition along the lines of the League of Nations’ model giving profits a broad meaning and excluding income by type if there is another article on that type of income. </w:t>
      </w:r>
      <w:r w:rsidR="009C4695" w:rsidRPr="0042503A">
        <w:rPr>
          <w:lang w:val="en-AU"/>
        </w:rPr>
        <w:t xml:space="preserve">The </w:t>
      </w:r>
      <w:proofErr w:type="spellStart"/>
      <w:r w:rsidR="009C4695" w:rsidRPr="0042503A">
        <w:rPr>
          <w:lang w:val="en-AU"/>
        </w:rPr>
        <w:t>WP14</w:t>
      </w:r>
      <w:proofErr w:type="spellEnd"/>
      <w:r w:rsidR="009C4695" w:rsidRPr="0042503A">
        <w:rPr>
          <w:lang w:val="en-AU"/>
        </w:rPr>
        <w:t xml:space="preserve"> draft</w:t>
      </w:r>
      <w:r w:rsidR="00D605ED">
        <w:rPr>
          <w:lang w:val="en-AU"/>
        </w:rPr>
        <w:t>,</w:t>
      </w:r>
      <w:r w:rsidR="009C4695" w:rsidRPr="0042503A">
        <w:rPr>
          <w:lang w:val="en-AU"/>
        </w:rPr>
        <w:t xml:space="preserve"> predat</w:t>
      </w:r>
      <w:r w:rsidR="00D605ED">
        <w:rPr>
          <w:lang w:val="en-AU"/>
        </w:rPr>
        <w:t>ing</w:t>
      </w:r>
      <w:r w:rsidR="009C4695" w:rsidRPr="0042503A">
        <w:rPr>
          <w:lang w:val="en-AU"/>
        </w:rPr>
        <w:t xml:space="preserve"> the resolution of this issue in arts 10-12 which the draft commentary</w:t>
      </w:r>
      <w:r w:rsidR="00226637">
        <w:rPr>
          <w:lang w:val="en-AU"/>
        </w:rPr>
        <w:t xml:space="preserve"> mentions</w:t>
      </w:r>
      <w:r w:rsidR="00D605ED">
        <w:rPr>
          <w:lang w:val="en-AU"/>
        </w:rPr>
        <w:t>,</w:t>
      </w:r>
      <w:r w:rsidR="006B361F">
        <w:rPr>
          <w:lang w:val="en-AU"/>
        </w:rPr>
        <w:t xml:space="preserve"> had proposed the narrowest possible definition</w:t>
      </w:r>
      <w:r w:rsidR="0042503A" w:rsidRPr="0042503A">
        <w:rPr>
          <w:lang w:val="en-AU"/>
        </w:rPr>
        <w:t>.</w:t>
      </w:r>
      <w:r w:rsidR="0042503A" w:rsidRPr="0042503A">
        <w:rPr>
          <w:rStyle w:val="FootnoteReference"/>
          <w:lang w:val="en-AU"/>
        </w:rPr>
        <w:footnoteReference w:id="76"/>
      </w:r>
      <w:r w:rsidR="009C4695" w:rsidRPr="0042503A">
        <w:rPr>
          <w:lang w:val="en-AU"/>
        </w:rPr>
        <w:t xml:space="preserve"> </w:t>
      </w:r>
      <w:r w:rsidR="00C25E7E" w:rsidRPr="00BB5B56">
        <w:rPr>
          <w:lang w:val="en-AU"/>
        </w:rPr>
        <w:t xml:space="preserve">In </w:t>
      </w:r>
      <w:r w:rsidR="00C25E7E">
        <w:rPr>
          <w:lang w:val="en-AU"/>
        </w:rPr>
        <w:t xml:space="preserve">the end </w:t>
      </w:r>
      <w:proofErr w:type="spellStart"/>
      <w:r w:rsidR="00C25E7E" w:rsidRPr="00BB5B56">
        <w:rPr>
          <w:lang w:val="en-AU"/>
        </w:rPr>
        <w:t>WP14</w:t>
      </w:r>
      <w:proofErr w:type="spellEnd"/>
      <w:r w:rsidR="00C25E7E" w:rsidRPr="00BB5B56">
        <w:rPr>
          <w:lang w:val="en-AU"/>
        </w:rPr>
        <w:t xml:space="preserve"> agreed that a </w:t>
      </w:r>
      <w:r w:rsidR="00666572" w:rsidRPr="00BB5B56">
        <w:rPr>
          <w:lang w:val="en-AU"/>
        </w:rPr>
        <w:t>generally</w:t>
      </w:r>
      <w:r w:rsidR="00666572">
        <w:rPr>
          <w:lang w:val="en-AU"/>
        </w:rPr>
        <w:t xml:space="preserve"> drafted</w:t>
      </w:r>
      <w:r w:rsidR="00C25E7E" w:rsidRPr="00BB5B56">
        <w:rPr>
          <w:lang w:val="en-AU"/>
        </w:rPr>
        <w:t xml:space="preserve"> definition was not very helpful and that it could be left to domestic law through art 3(2)</w:t>
      </w:r>
      <w:r w:rsidR="006D14BA">
        <w:rPr>
          <w:lang w:val="en-AU"/>
        </w:rPr>
        <w:t xml:space="preserve"> (domestic law meaning of undefined terms)</w:t>
      </w:r>
      <w:r w:rsidR="00C25E7E" w:rsidRPr="00BB5B56">
        <w:rPr>
          <w:lang w:val="en-AU"/>
        </w:rPr>
        <w:t xml:space="preserve">. </w:t>
      </w:r>
    </w:p>
    <w:p w14:paraId="03C27513" w14:textId="2257CD0D" w:rsidR="00C25E7E" w:rsidRPr="00C25E7E" w:rsidRDefault="00C25E7E" w:rsidP="00C94A8A">
      <w:pPr>
        <w:pStyle w:val="BodyText"/>
      </w:pPr>
      <w:r w:rsidRPr="00BB5B56">
        <w:rPr>
          <w:lang w:val="en-AU"/>
        </w:rPr>
        <w:t xml:space="preserve">On priority </w:t>
      </w:r>
      <w:r w:rsidR="000B3520">
        <w:rPr>
          <w:lang w:val="en-AU"/>
        </w:rPr>
        <w:t xml:space="preserve">the FC </w:t>
      </w:r>
      <w:r>
        <w:rPr>
          <w:lang w:val="en-AU"/>
        </w:rPr>
        <w:t xml:space="preserve">discussed a bank resident in A with no PE in B which received dividends from B, so that potentially both arts 7 and 10 applied. It was agreed that art 10 should </w:t>
      </w:r>
      <w:r w:rsidR="00CF4EC6">
        <w:rPr>
          <w:lang w:val="en-AU"/>
        </w:rPr>
        <w:t xml:space="preserve">solely apply. The discussion become confused when considering if there was a PE in B which received dividends from A where it was thought that art 10 also applied, although </w:t>
      </w:r>
      <w:r w:rsidR="006F5E39">
        <w:rPr>
          <w:lang w:val="en-AU"/>
        </w:rPr>
        <w:t>under the</w:t>
      </w:r>
      <w:r w:rsidR="00CF4EC6">
        <w:rPr>
          <w:lang w:val="en-AU"/>
        </w:rPr>
        <w:t xml:space="preserve"> priority rule the dividends remained in art 7</w:t>
      </w:r>
      <w:r w:rsidR="006F5E39">
        <w:rPr>
          <w:lang w:val="en-AU"/>
        </w:rPr>
        <w:t xml:space="preserve"> because this situation was not dealt with by art 10</w:t>
      </w:r>
      <w:r w:rsidR="00CF4EC6">
        <w:rPr>
          <w:lang w:val="en-AU"/>
        </w:rPr>
        <w:t>.</w:t>
      </w:r>
      <w:r w:rsidR="006F5E39">
        <w:rPr>
          <w:rStyle w:val="FootnoteReference"/>
          <w:lang w:val="en-AU"/>
        </w:rPr>
        <w:footnoteReference w:id="77"/>
      </w:r>
      <w:r w:rsidR="00CF4EC6">
        <w:rPr>
          <w:lang w:val="en-AU"/>
        </w:rPr>
        <w:t xml:space="preserve"> </w:t>
      </w:r>
      <w:proofErr w:type="spellStart"/>
      <w:r w:rsidR="00CF4EC6">
        <w:rPr>
          <w:lang w:val="en-AU"/>
        </w:rPr>
        <w:t>WP14</w:t>
      </w:r>
      <w:proofErr w:type="spellEnd"/>
      <w:r w:rsidR="00CF4EC6">
        <w:rPr>
          <w:lang w:val="en-AU"/>
        </w:rPr>
        <w:t xml:space="preserve"> </w:t>
      </w:r>
      <w:r w:rsidR="006F5E39">
        <w:rPr>
          <w:lang w:val="en-AU"/>
        </w:rPr>
        <w:t xml:space="preserve">considered whether the priority </w:t>
      </w:r>
      <w:r w:rsidRPr="00BB5B56">
        <w:rPr>
          <w:lang w:val="en-AU"/>
        </w:rPr>
        <w:t xml:space="preserve">rule </w:t>
      </w:r>
      <w:r w:rsidR="006F5E39">
        <w:rPr>
          <w:lang w:val="en-AU"/>
        </w:rPr>
        <w:t>sh</w:t>
      </w:r>
      <w:r w:rsidRPr="00BB5B56">
        <w:rPr>
          <w:lang w:val="en-AU"/>
        </w:rPr>
        <w:t>ould be in art 3, art 7 or a separate article but seemed to prefer art 7. Its new draft</w:t>
      </w:r>
      <w:r w:rsidR="00010B82">
        <w:rPr>
          <w:lang w:val="en-AU"/>
        </w:rPr>
        <w:t>,</w:t>
      </w:r>
      <w:r w:rsidRPr="00BB5B56">
        <w:rPr>
          <w:lang w:val="en-AU"/>
        </w:rPr>
        <w:t xml:space="preserve"> to the same effect as 2017 art 7(4)</w:t>
      </w:r>
      <w:r w:rsidR="00010B82">
        <w:rPr>
          <w:lang w:val="en-AU"/>
        </w:rPr>
        <w:t>,</w:t>
      </w:r>
      <w:r w:rsidR="00CF4EC6">
        <w:rPr>
          <w:lang w:val="en-AU"/>
        </w:rPr>
        <w:t xml:space="preserve"> was adopted by the FC</w:t>
      </w:r>
      <w:r w:rsidRPr="00BB5B56">
        <w:rPr>
          <w:lang w:val="en-AU"/>
        </w:rPr>
        <w:t>.</w:t>
      </w:r>
      <w:r w:rsidR="00CF4EC6">
        <w:rPr>
          <w:rStyle w:val="FootnoteReference"/>
          <w:lang w:val="en-AU"/>
        </w:rPr>
        <w:footnoteReference w:id="78"/>
      </w:r>
    </w:p>
    <w:p w14:paraId="0A63A984" w14:textId="2545480A" w:rsidR="00A640CD" w:rsidRDefault="00A640CD" w:rsidP="00A640CD">
      <w:pPr>
        <w:pStyle w:val="BodyText"/>
        <w:rPr>
          <w:lang w:val="en-AU"/>
        </w:rPr>
      </w:pPr>
      <w:r w:rsidRPr="00A640CD">
        <w:rPr>
          <w:lang w:val="en-AU"/>
        </w:rPr>
        <w:t xml:space="preserve">These definitions raise the kind of structural issues that seemed now to have been directed to the Drafting Group even though </w:t>
      </w:r>
      <w:proofErr w:type="spellStart"/>
      <w:r w:rsidRPr="00A640CD">
        <w:rPr>
          <w:lang w:val="en-AU"/>
        </w:rPr>
        <w:t>WP14</w:t>
      </w:r>
      <w:proofErr w:type="spellEnd"/>
      <w:r w:rsidRPr="00A640CD">
        <w:rPr>
          <w:lang w:val="en-AU"/>
        </w:rPr>
        <w:t xml:space="preserve"> had been asked to look at structure a few years earlier. It is evident from the </w:t>
      </w:r>
      <w:proofErr w:type="spellStart"/>
      <w:r w:rsidRPr="00A640CD">
        <w:rPr>
          <w:lang w:val="en-AU"/>
        </w:rPr>
        <w:t>WP14</w:t>
      </w:r>
      <w:proofErr w:type="spellEnd"/>
      <w:r w:rsidRPr="00A640CD">
        <w:rPr>
          <w:lang w:val="en-AU"/>
        </w:rPr>
        <w:t xml:space="preserve"> report and the discussion that </w:t>
      </w:r>
      <w:proofErr w:type="spellStart"/>
      <w:r w:rsidRPr="00A640CD">
        <w:rPr>
          <w:lang w:val="en-AU"/>
        </w:rPr>
        <w:t>WP14</w:t>
      </w:r>
      <w:proofErr w:type="spellEnd"/>
      <w:r w:rsidRPr="00A640CD">
        <w:rPr>
          <w:lang w:val="en-AU"/>
        </w:rPr>
        <w:t xml:space="preserve"> was mainly trying to fit into earlier decisions made by the FC on other articles and its mandate rather than presenting any grand plan for the overall model but on the other hand the FC seemed unwilling to allow </w:t>
      </w:r>
      <w:proofErr w:type="spellStart"/>
      <w:r w:rsidRPr="00A640CD">
        <w:rPr>
          <w:lang w:val="en-AU"/>
        </w:rPr>
        <w:t>WP14</w:t>
      </w:r>
      <w:proofErr w:type="spellEnd"/>
      <w:r w:rsidRPr="00A640CD">
        <w:rPr>
          <w:lang w:val="en-AU"/>
        </w:rPr>
        <w:t xml:space="preserve"> to avoid structural issues. </w:t>
      </w:r>
    </w:p>
    <w:p w14:paraId="24104846" w14:textId="7EBF0D1A" w:rsidR="00F36FF3" w:rsidRDefault="00F36FF3" w:rsidP="00F36FF3">
      <w:pPr>
        <w:pStyle w:val="BodyText"/>
        <w:rPr>
          <w:lang w:val="en-AU"/>
        </w:rPr>
      </w:pPr>
      <w:proofErr w:type="spellStart"/>
      <w:r w:rsidRPr="00613039">
        <w:rPr>
          <w:lang w:val="en-AU"/>
        </w:rPr>
        <w:t>WP14</w:t>
      </w:r>
      <w:proofErr w:type="spellEnd"/>
      <w:r w:rsidRPr="00613039">
        <w:rPr>
          <w:lang w:val="en-AU"/>
        </w:rPr>
        <w:t xml:space="preserve"> was given this task but it did not take it up explicitly.</w:t>
      </w:r>
      <w:r>
        <w:rPr>
          <w:lang w:val="en-AU"/>
        </w:rPr>
        <w:t xml:space="preserve"> </w:t>
      </w:r>
      <w:r w:rsidRPr="00613039">
        <w:rPr>
          <w:lang w:val="en-AU"/>
        </w:rPr>
        <w:t xml:space="preserve">When its work across a variety of articles inevitably threw up particular structural issues such as conflicts of entity characterisation or the priority rule between art 7 and other more specific provisions, </w:t>
      </w:r>
      <w:proofErr w:type="spellStart"/>
      <w:r w:rsidRPr="00613039">
        <w:rPr>
          <w:lang w:val="en-AU"/>
        </w:rPr>
        <w:t>WP14</w:t>
      </w:r>
      <w:proofErr w:type="spellEnd"/>
      <w:r w:rsidRPr="00613039">
        <w:rPr>
          <w:lang w:val="en-AU"/>
        </w:rPr>
        <w:t xml:space="preserve"> conscientiously addressed the issues but the FC effectively buried them in the too</w:t>
      </w:r>
      <w:r w:rsidR="00010B82">
        <w:rPr>
          <w:lang w:val="en-AU"/>
        </w:rPr>
        <w:t>-</w:t>
      </w:r>
      <w:r w:rsidRPr="00613039">
        <w:rPr>
          <w:lang w:val="en-AU"/>
        </w:rPr>
        <w:t>hard basket.</w:t>
      </w:r>
    </w:p>
    <w:p w14:paraId="0266991B" w14:textId="761286D6" w:rsidR="00825025" w:rsidRDefault="00825025" w:rsidP="00825025">
      <w:pPr>
        <w:pStyle w:val="Heading4"/>
        <w:rPr>
          <w:lang w:val="en-AU"/>
        </w:rPr>
      </w:pPr>
      <w:r>
        <w:rPr>
          <w:lang w:val="en-AU"/>
        </w:rPr>
        <w:t>Working Party 2</w:t>
      </w:r>
      <w:r w:rsidR="006D14BA">
        <w:rPr>
          <w:lang w:val="en-AU"/>
        </w:rPr>
        <w:t xml:space="preserve"> [residence]</w:t>
      </w:r>
    </w:p>
    <w:p w14:paraId="7053DA58" w14:textId="3672A191" w:rsidR="00680784" w:rsidRDefault="00825025" w:rsidP="00825025">
      <w:pPr>
        <w:pStyle w:val="BodyText"/>
        <w:rPr>
          <w:lang w:val="en-AU"/>
        </w:rPr>
      </w:pPr>
      <w:r>
        <w:rPr>
          <w:lang w:val="en-AU"/>
        </w:rPr>
        <w:t xml:space="preserve">We should </w:t>
      </w:r>
      <w:r w:rsidR="006B48C3">
        <w:rPr>
          <w:lang w:val="en-AU"/>
        </w:rPr>
        <w:t xml:space="preserve">also </w:t>
      </w:r>
      <w:r>
        <w:rPr>
          <w:lang w:val="en-AU"/>
        </w:rPr>
        <w:t xml:space="preserve">mention the work of </w:t>
      </w:r>
      <w:proofErr w:type="spellStart"/>
      <w:r>
        <w:rPr>
          <w:lang w:val="en-AU"/>
        </w:rPr>
        <w:t>WP2</w:t>
      </w:r>
      <w:proofErr w:type="spellEnd"/>
      <w:r>
        <w:rPr>
          <w:lang w:val="en-AU"/>
        </w:rPr>
        <w:t xml:space="preserve"> which tried to produce a plan </w:t>
      </w:r>
      <w:r w:rsidR="00CA54C5">
        <w:rPr>
          <w:lang w:val="en-AU"/>
        </w:rPr>
        <w:t xml:space="preserve">dealing with </w:t>
      </w:r>
      <w:r w:rsidR="00926E44">
        <w:rPr>
          <w:lang w:val="en-AU"/>
        </w:rPr>
        <w:t xml:space="preserve">the </w:t>
      </w:r>
      <w:r w:rsidR="00CA54C5">
        <w:rPr>
          <w:lang w:val="en-AU"/>
        </w:rPr>
        <w:t>different uses of residence</w:t>
      </w:r>
      <w:r w:rsidR="000829D1">
        <w:rPr>
          <w:rStyle w:val="FootnoteReference"/>
          <w:lang w:val="en-AU"/>
        </w:rPr>
        <w:footnoteReference w:id="79"/>
      </w:r>
      <w:r w:rsidR="00CA54C5">
        <w:rPr>
          <w:lang w:val="en-AU"/>
        </w:rPr>
        <w:t xml:space="preserve"> </w:t>
      </w:r>
      <w:r w:rsidR="00926E44">
        <w:rPr>
          <w:lang w:val="en-AU"/>
        </w:rPr>
        <w:t xml:space="preserve">in treaties </w:t>
      </w:r>
      <w:r>
        <w:rPr>
          <w:lang w:val="en-AU"/>
        </w:rPr>
        <w:t xml:space="preserve">but its efforts were foiled by the FC. The first </w:t>
      </w:r>
      <w:r>
        <w:rPr>
          <w:lang w:val="en-AU"/>
        </w:rPr>
        <w:lastRenderedPageBreak/>
        <w:t xml:space="preserve">paper by </w:t>
      </w:r>
      <w:proofErr w:type="spellStart"/>
      <w:r>
        <w:rPr>
          <w:lang w:val="en-AU"/>
        </w:rPr>
        <w:t>WP2</w:t>
      </w:r>
      <w:proofErr w:type="spellEnd"/>
      <w:r>
        <w:rPr>
          <w:lang w:val="en-AU"/>
        </w:rPr>
        <w:t xml:space="preserve"> set out an excellent framework </w:t>
      </w:r>
      <w:r w:rsidR="009E304F">
        <w:rPr>
          <w:lang w:val="en-AU"/>
        </w:rPr>
        <w:t>d</w:t>
      </w:r>
      <w:r>
        <w:rPr>
          <w:lang w:val="en-AU"/>
        </w:rPr>
        <w:t xml:space="preserve">ealing with the distinction between </w:t>
      </w:r>
      <w:r w:rsidR="007F3C06">
        <w:rPr>
          <w:lang w:val="en-AU"/>
        </w:rPr>
        <w:t xml:space="preserve">residence for </w:t>
      </w:r>
      <w:r>
        <w:rPr>
          <w:lang w:val="en-AU"/>
        </w:rPr>
        <w:t>(a) the scope of the treaty, (b) dual residence conflicts, and (c) source-residence conflicts</w:t>
      </w:r>
      <w:r w:rsidR="001D363B">
        <w:rPr>
          <w:lang w:val="en-AU"/>
        </w:rPr>
        <w:t xml:space="preserve">, each requiring different </w:t>
      </w:r>
      <w:r w:rsidR="00611C31">
        <w:rPr>
          <w:lang w:val="en-AU"/>
        </w:rPr>
        <w:t>approaches</w:t>
      </w:r>
      <w:r w:rsidR="002119BD">
        <w:rPr>
          <w:lang w:val="en-AU"/>
        </w:rPr>
        <w:t xml:space="preserve">, the first and third requiring domestic law </w:t>
      </w:r>
      <w:r w:rsidR="00ED0366">
        <w:rPr>
          <w:lang w:val="en-AU"/>
        </w:rPr>
        <w:t xml:space="preserve">(with a possible limitation for the third) </w:t>
      </w:r>
      <w:r w:rsidR="002119BD">
        <w:rPr>
          <w:lang w:val="en-AU"/>
        </w:rPr>
        <w:t>and the second a treaty definition</w:t>
      </w:r>
      <w:r>
        <w:rPr>
          <w:lang w:val="en-AU"/>
        </w:rPr>
        <w:t>.</w:t>
      </w:r>
      <w:bookmarkStart w:id="13" w:name="_Ref97621980"/>
      <w:r w:rsidR="00926E44">
        <w:rPr>
          <w:rStyle w:val="FootnoteReference"/>
          <w:lang w:val="en-AU"/>
        </w:rPr>
        <w:footnoteReference w:id="80"/>
      </w:r>
      <w:bookmarkEnd w:id="13"/>
      <w:r>
        <w:rPr>
          <w:lang w:val="en-AU"/>
        </w:rPr>
        <w:t xml:space="preserve"> Article 1 </w:t>
      </w:r>
      <w:r w:rsidR="006D3F55">
        <w:rPr>
          <w:lang w:val="en-AU"/>
        </w:rPr>
        <w:t xml:space="preserve">(which also included a definition of ‘person’) </w:t>
      </w:r>
      <w:r>
        <w:rPr>
          <w:lang w:val="en-AU"/>
        </w:rPr>
        <w:t xml:space="preserve">was originally their proposal </w:t>
      </w:r>
      <w:r w:rsidR="00926E44">
        <w:rPr>
          <w:lang w:val="en-AU"/>
        </w:rPr>
        <w:t xml:space="preserve">for (a) </w:t>
      </w:r>
      <w:r w:rsidR="006D3F55">
        <w:rPr>
          <w:lang w:val="en-AU"/>
        </w:rPr>
        <w:t xml:space="preserve">above </w:t>
      </w:r>
      <w:r>
        <w:rPr>
          <w:lang w:val="en-AU"/>
        </w:rPr>
        <w:t>but they were told not to pursue it</w:t>
      </w:r>
      <w:r w:rsidR="000829D1">
        <w:rPr>
          <w:lang w:val="en-AU"/>
        </w:rPr>
        <w:t xml:space="preserve"> (or anything other than art 4)</w:t>
      </w:r>
      <w:r w:rsidR="00CA54C5">
        <w:rPr>
          <w:lang w:val="en-AU"/>
        </w:rPr>
        <w:t>,</w:t>
      </w:r>
      <w:r w:rsidR="00CA54C5">
        <w:rPr>
          <w:rStyle w:val="FootnoteReference"/>
          <w:lang w:val="en-AU"/>
        </w:rPr>
        <w:footnoteReference w:id="81"/>
      </w:r>
      <w:r w:rsidR="00CA54C5">
        <w:rPr>
          <w:lang w:val="en-AU"/>
        </w:rPr>
        <w:t xml:space="preserve"> although </w:t>
      </w:r>
      <w:r w:rsidR="000829D1">
        <w:rPr>
          <w:lang w:val="en-AU"/>
        </w:rPr>
        <w:t>art 1</w:t>
      </w:r>
      <w:r w:rsidR="00CA54C5">
        <w:rPr>
          <w:lang w:val="en-AU"/>
        </w:rPr>
        <w:t xml:space="preserve"> was later resuscitated by </w:t>
      </w:r>
      <w:proofErr w:type="spellStart"/>
      <w:r w:rsidR="00926E44">
        <w:rPr>
          <w:lang w:val="en-AU"/>
        </w:rPr>
        <w:t>WP14</w:t>
      </w:r>
      <w:proofErr w:type="spellEnd"/>
      <w:r w:rsidR="00926E44">
        <w:rPr>
          <w:lang w:val="en-AU"/>
        </w:rPr>
        <w:t xml:space="preserve"> in 1959</w:t>
      </w:r>
      <w:r w:rsidR="00CA54C5">
        <w:rPr>
          <w:lang w:val="en-AU"/>
        </w:rPr>
        <w:t>.</w:t>
      </w:r>
      <w:r w:rsidR="000B4A39">
        <w:rPr>
          <w:rStyle w:val="FootnoteReference"/>
          <w:lang w:val="en-AU"/>
        </w:rPr>
        <w:footnoteReference w:id="82"/>
      </w:r>
      <w:r w:rsidR="00CA54C5">
        <w:rPr>
          <w:lang w:val="en-AU"/>
        </w:rPr>
        <w:t xml:space="preserve"> This explains why oddly </w:t>
      </w:r>
      <w:r w:rsidR="00926E44">
        <w:rPr>
          <w:lang w:val="en-AU"/>
        </w:rPr>
        <w:t xml:space="preserve">it </w:t>
      </w:r>
      <w:r w:rsidR="00CA54C5">
        <w:rPr>
          <w:lang w:val="en-AU"/>
        </w:rPr>
        <w:t xml:space="preserve">refers to residents of one or both states, when the latter possibility should have been eliminated by the tie-breaker; </w:t>
      </w:r>
      <w:proofErr w:type="spellStart"/>
      <w:r w:rsidR="00CA54C5">
        <w:rPr>
          <w:lang w:val="en-AU"/>
        </w:rPr>
        <w:t>WP2’s</w:t>
      </w:r>
      <w:proofErr w:type="spellEnd"/>
      <w:r w:rsidR="00CA54C5">
        <w:rPr>
          <w:lang w:val="en-AU"/>
        </w:rPr>
        <w:t xml:space="preserve"> original draft referred to a person fully liable to tax (meaning under domestic law</w:t>
      </w:r>
      <w:r w:rsidR="009C12BB">
        <w:rPr>
          <w:lang w:val="en-AU"/>
        </w:rPr>
        <w:t>, as they made clear in their Commentary</w:t>
      </w:r>
      <w:r w:rsidR="009C12BB">
        <w:rPr>
          <w:rStyle w:val="FootnoteReference"/>
          <w:lang w:val="en-AU"/>
        </w:rPr>
        <w:footnoteReference w:id="83"/>
      </w:r>
      <w:r w:rsidR="00CA54C5">
        <w:rPr>
          <w:lang w:val="en-AU"/>
        </w:rPr>
        <w:t>) in one of the states.</w:t>
      </w:r>
      <w:r w:rsidR="00421480">
        <w:rPr>
          <w:lang w:val="en-AU"/>
        </w:rPr>
        <w:t xml:space="preserve"> Another </w:t>
      </w:r>
      <w:r w:rsidR="002119BD">
        <w:rPr>
          <w:lang w:val="en-AU"/>
        </w:rPr>
        <w:t xml:space="preserve">important </w:t>
      </w:r>
      <w:proofErr w:type="spellStart"/>
      <w:r w:rsidR="00421480">
        <w:rPr>
          <w:lang w:val="en-AU"/>
        </w:rPr>
        <w:t>WP2</w:t>
      </w:r>
      <w:proofErr w:type="spellEnd"/>
      <w:r w:rsidR="00421480">
        <w:rPr>
          <w:lang w:val="en-AU"/>
        </w:rPr>
        <w:t xml:space="preserve"> proposal that was never adopted</w:t>
      </w:r>
      <w:r w:rsidR="00CA54C5">
        <w:rPr>
          <w:lang w:val="en-AU"/>
        </w:rPr>
        <w:t xml:space="preserve"> </w:t>
      </w:r>
      <w:r w:rsidR="00421480">
        <w:rPr>
          <w:lang w:val="en-AU"/>
        </w:rPr>
        <w:t>was to put its equivalent to art 21 at the beginning of the distributive rules.</w:t>
      </w:r>
      <w:bookmarkStart w:id="14" w:name="_Ref97624936"/>
      <w:r w:rsidR="00421480">
        <w:rPr>
          <w:rStyle w:val="FootnoteReference"/>
          <w:lang w:val="en-AU"/>
        </w:rPr>
        <w:footnoteReference w:id="84"/>
      </w:r>
      <w:bookmarkEnd w:id="14"/>
      <w:r w:rsidR="00C11D1F">
        <w:rPr>
          <w:lang w:val="en-AU"/>
        </w:rPr>
        <w:t xml:space="preserve"> </w:t>
      </w:r>
      <w:r w:rsidR="006D3F55">
        <w:rPr>
          <w:lang w:val="en-AU"/>
        </w:rPr>
        <w:t xml:space="preserve">A little of </w:t>
      </w:r>
      <w:proofErr w:type="spellStart"/>
      <w:r w:rsidR="006D3F55">
        <w:rPr>
          <w:lang w:val="en-AU"/>
        </w:rPr>
        <w:t>WP2’s</w:t>
      </w:r>
      <w:proofErr w:type="spellEnd"/>
      <w:r w:rsidR="006D3F55">
        <w:rPr>
          <w:lang w:val="en-AU"/>
        </w:rPr>
        <w:t xml:space="preserve"> work generally survives in the Preliminary Remarks in the Commentary to art 4.</w:t>
      </w:r>
    </w:p>
    <w:p w14:paraId="0324B099" w14:textId="66AD0FDD" w:rsidR="00825025" w:rsidRPr="00825025" w:rsidRDefault="00C11D1F" w:rsidP="00825025">
      <w:pPr>
        <w:pStyle w:val="BodyText"/>
        <w:rPr>
          <w:lang w:val="en-AU"/>
        </w:rPr>
      </w:pPr>
      <w:r>
        <w:rPr>
          <w:lang w:val="en-AU"/>
        </w:rPr>
        <w:t xml:space="preserve">Had </w:t>
      </w:r>
      <w:proofErr w:type="spellStart"/>
      <w:r>
        <w:rPr>
          <w:lang w:val="en-AU"/>
        </w:rPr>
        <w:t>WP2</w:t>
      </w:r>
      <w:proofErr w:type="spellEnd"/>
      <w:r>
        <w:rPr>
          <w:lang w:val="en-AU"/>
        </w:rPr>
        <w:t xml:space="preserve"> been allowed to pursue these matters the Model would have had a far better framework. Later</w:t>
      </w:r>
      <w:r w:rsidR="009C12BB">
        <w:rPr>
          <w:lang w:val="en-AU"/>
        </w:rPr>
        <w:t>,</w:t>
      </w:r>
      <w:r>
        <w:rPr>
          <w:lang w:val="en-AU"/>
        </w:rPr>
        <w:t xml:space="preserve"> </w:t>
      </w:r>
      <w:proofErr w:type="spellStart"/>
      <w:r>
        <w:rPr>
          <w:lang w:val="en-AU"/>
        </w:rPr>
        <w:t>WP14</w:t>
      </w:r>
      <w:proofErr w:type="spellEnd"/>
      <w:r>
        <w:rPr>
          <w:lang w:val="en-AU"/>
        </w:rPr>
        <w:t xml:space="preserve"> was given a mandate to look at the structure even though the FC again prevented this from working properly; </w:t>
      </w:r>
      <w:proofErr w:type="spellStart"/>
      <w:r>
        <w:rPr>
          <w:lang w:val="en-AU"/>
        </w:rPr>
        <w:t>WP2</w:t>
      </w:r>
      <w:proofErr w:type="spellEnd"/>
      <w:r>
        <w:rPr>
          <w:lang w:val="en-AU"/>
        </w:rPr>
        <w:t xml:space="preserve"> </w:t>
      </w:r>
      <w:r w:rsidR="00680784">
        <w:rPr>
          <w:lang w:val="en-AU"/>
        </w:rPr>
        <w:t>came</w:t>
      </w:r>
      <w:r>
        <w:rPr>
          <w:lang w:val="en-AU"/>
        </w:rPr>
        <w:t xml:space="preserve"> too early in the process</w:t>
      </w:r>
      <w:r w:rsidR="00680784">
        <w:rPr>
          <w:lang w:val="en-AU"/>
        </w:rPr>
        <w:t xml:space="preserve"> for the </w:t>
      </w:r>
      <w:r w:rsidR="00303775">
        <w:rPr>
          <w:lang w:val="en-AU"/>
        </w:rPr>
        <w:t>importance</w:t>
      </w:r>
      <w:r w:rsidR="00680784">
        <w:rPr>
          <w:lang w:val="en-AU"/>
        </w:rPr>
        <w:t xml:space="preserve"> of this</w:t>
      </w:r>
      <w:r w:rsidR="00303775">
        <w:rPr>
          <w:lang w:val="en-AU"/>
        </w:rPr>
        <w:t xml:space="preserve"> issue</w:t>
      </w:r>
      <w:r w:rsidR="00680784">
        <w:rPr>
          <w:lang w:val="en-AU"/>
        </w:rPr>
        <w:t xml:space="preserve"> to be appreciated.</w:t>
      </w:r>
    </w:p>
    <w:p w14:paraId="7BD9D434" w14:textId="6AAD098F" w:rsidR="001B5F72" w:rsidRPr="00A640CD" w:rsidRDefault="001B5F72" w:rsidP="001B5F72">
      <w:pPr>
        <w:pStyle w:val="Heading4"/>
        <w:rPr>
          <w:lang w:val="en-AU"/>
        </w:rPr>
      </w:pPr>
      <w:r>
        <w:rPr>
          <w:lang w:val="en-AU"/>
        </w:rPr>
        <w:t>The preparation of the 1963 Draft</w:t>
      </w:r>
    </w:p>
    <w:p w14:paraId="1F9E36E0" w14:textId="41BB3649" w:rsidR="00A640CD" w:rsidRDefault="00A640CD" w:rsidP="00A640CD">
      <w:pPr>
        <w:pStyle w:val="BodyText"/>
        <w:rPr>
          <w:lang w:val="en-AU"/>
        </w:rPr>
      </w:pPr>
      <w:r w:rsidRPr="00A640CD">
        <w:rPr>
          <w:lang w:val="en-AU"/>
        </w:rPr>
        <w:t xml:space="preserve">Before the </w:t>
      </w:r>
      <w:r w:rsidR="00F653B4">
        <w:rPr>
          <w:lang w:val="en-AU"/>
        </w:rPr>
        <w:t>September</w:t>
      </w:r>
      <w:r w:rsidR="00EF79F2">
        <w:rPr>
          <w:lang w:val="en-AU"/>
        </w:rPr>
        <w:t xml:space="preserve"> 1961 </w:t>
      </w:r>
      <w:r w:rsidRPr="00A640CD">
        <w:rPr>
          <w:lang w:val="en-AU"/>
        </w:rPr>
        <w:t>FC meeting, Switzerland with the agreement of the Chair produced a full draft convention of 32 articles for consideration by the Drafting Group at a meeting in advance of the FC meeting.</w:t>
      </w:r>
      <w:r w:rsidR="001B5F72">
        <w:rPr>
          <w:rStyle w:val="FootnoteReference"/>
          <w:lang w:val="en-AU"/>
        </w:rPr>
        <w:footnoteReference w:id="85"/>
      </w:r>
      <w:r w:rsidRPr="00A640CD">
        <w:rPr>
          <w:lang w:val="en-AU"/>
        </w:rPr>
        <w:t xml:space="preserve"> This draft put the 25 articles in the four </w:t>
      </w:r>
      <w:proofErr w:type="spellStart"/>
      <w:r w:rsidRPr="00A640CD">
        <w:rPr>
          <w:lang w:val="en-AU"/>
        </w:rPr>
        <w:t>OEEC</w:t>
      </w:r>
      <w:proofErr w:type="spellEnd"/>
      <w:r w:rsidRPr="00A640CD">
        <w:rPr>
          <w:lang w:val="en-AU"/>
        </w:rPr>
        <w:t xml:space="preserve"> reports more or less into the current order, added some further articles (</w:t>
      </w:r>
      <w:proofErr w:type="spellStart"/>
      <w:r w:rsidRPr="00A640CD">
        <w:rPr>
          <w:lang w:val="en-AU"/>
        </w:rPr>
        <w:t>WP14</w:t>
      </w:r>
      <w:proofErr w:type="spellEnd"/>
      <w:r w:rsidRPr="00A640CD">
        <w:rPr>
          <w:lang w:val="en-AU"/>
        </w:rPr>
        <w:t xml:space="preserve"> articles still to be finalised by the FC, capital gains which Switzerland had proposed in early 1961</w:t>
      </w:r>
      <w:r w:rsidR="001B5F72">
        <w:rPr>
          <w:rStyle w:val="FootnoteReference"/>
          <w:lang w:val="en-AU"/>
        </w:rPr>
        <w:footnoteReference w:id="86"/>
      </w:r>
      <w:r w:rsidRPr="00A640CD">
        <w:rPr>
          <w:lang w:val="en-AU"/>
        </w:rPr>
        <w:t xml:space="preserve"> but only got underway with the establishment of </w:t>
      </w:r>
      <w:proofErr w:type="spellStart"/>
      <w:r w:rsidRPr="00A640CD">
        <w:rPr>
          <w:lang w:val="en-AU"/>
        </w:rPr>
        <w:t>WP19</w:t>
      </w:r>
      <w:proofErr w:type="spellEnd"/>
      <w:r w:rsidRPr="00A640CD">
        <w:rPr>
          <w:lang w:val="en-AU"/>
        </w:rPr>
        <w:t xml:space="preserve"> in late 1961, and a new article on the competent authorities making regulations to carry out the treaty), </w:t>
      </w:r>
      <w:r w:rsidR="00303775">
        <w:rPr>
          <w:lang w:val="en-AU"/>
        </w:rPr>
        <w:t xml:space="preserve">and </w:t>
      </w:r>
      <w:r w:rsidRPr="00A640CD">
        <w:rPr>
          <w:lang w:val="en-AU"/>
        </w:rPr>
        <w:t xml:space="preserve">made suggestions for drafting changes and posed questions. </w:t>
      </w:r>
      <w:r w:rsidR="00EF79F2">
        <w:rPr>
          <w:lang w:val="en-AU"/>
        </w:rPr>
        <w:t>T</w:t>
      </w:r>
      <w:r w:rsidR="00EF79F2" w:rsidRPr="003B1C0F">
        <w:rPr>
          <w:lang w:val="en-AU"/>
        </w:rPr>
        <w:t xml:space="preserve">he capital gains article </w:t>
      </w:r>
      <w:r w:rsidR="00EF79F2">
        <w:rPr>
          <w:lang w:val="en-AU"/>
        </w:rPr>
        <w:t xml:space="preserve">raised structural issues but </w:t>
      </w:r>
      <w:r w:rsidR="00EF79F2" w:rsidRPr="003B1C0F">
        <w:rPr>
          <w:lang w:val="en-AU"/>
        </w:rPr>
        <w:t xml:space="preserve">was completed so </w:t>
      </w:r>
      <w:r w:rsidR="00EF79F2">
        <w:rPr>
          <w:lang w:val="en-AU"/>
        </w:rPr>
        <w:t>late</w:t>
      </w:r>
      <w:r w:rsidR="00EF79F2" w:rsidRPr="003B1C0F">
        <w:rPr>
          <w:lang w:val="en-AU"/>
        </w:rPr>
        <w:t xml:space="preserve"> in the integration process it had little impact on the overall structuring of the </w:t>
      </w:r>
      <w:r w:rsidR="00EF79F2">
        <w:rPr>
          <w:lang w:val="en-AU"/>
        </w:rPr>
        <w:t>Draft</w:t>
      </w:r>
      <w:r w:rsidR="00EF79F2" w:rsidRPr="003B1C0F">
        <w:rPr>
          <w:lang w:val="en-AU"/>
        </w:rPr>
        <w:t>.</w:t>
      </w:r>
      <w:r w:rsidR="00EF79F2">
        <w:rPr>
          <w:rStyle w:val="FootnoteReference"/>
          <w:lang w:val="en-AU"/>
        </w:rPr>
        <w:footnoteReference w:id="87"/>
      </w:r>
      <w:r w:rsidR="00EF79F2">
        <w:rPr>
          <w:lang w:val="en-AU"/>
        </w:rPr>
        <w:t xml:space="preserve"> </w:t>
      </w:r>
      <w:r w:rsidRPr="00A640CD">
        <w:rPr>
          <w:lang w:val="en-AU"/>
        </w:rPr>
        <w:t xml:space="preserve">For the first time the outcome of the </w:t>
      </w:r>
      <w:proofErr w:type="spellStart"/>
      <w:r w:rsidRPr="00A640CD">
        <w:rPr>
          <w:lang w:val="en-AU"/>
        </w:rPr>
        <w:t>OEEC</w:t>
      </w:r>
      <w:proofErr w:type="spellEnd"/>
      <w:r w:rsidRPr="00A640CD">
        <w:rPr>
          <w:lang w:val="en-AU"/>
        </w:rPr>
        <w:t xml:space="preserve"> work was given concrete shape in the form of a </w:t>
      </w:r>
      <w:r w:rsidR="001B5F72">
        <w:rPr>
          <w:lang w:val="en-AU"/>
        </w:rPr>
        <w:t xml:space="preserve">complete </w:t>
      </w:r>
      <w:r w:rsidRPr="00A640CD">
        <w:rPr>
          <w:lang w:val="en-AU"/>
        </w:rPr>
        <w:t xml:space="preserve">model. The changes were mainly for consistency though one type of change trying to get consistency in the usage of terms to describe different kinds of law may have been intended as more substantive. On the first day of the </w:t>
      </w:r>
      <w:r w:rsidR="00AB431D" w:rsidRPr="00A640CD">
        <w:rPr>
          <w:lang w:val="en-AU"/>
        </w:rPr>
        <w:t>two-day</w:t>
      </w:r>
      <w:r w:rsidRPr="00A640CD">
        <w:rPr>
          <w:lang w:val="en-AU"/>
        </w:rPr>
        <w:t xml:space="preserve"> meeting of the Drafting Group a draft summary </w:t>
      </w:r>
      <w:r w:rsidRPr="00A640CD">
        <w:rPr>
          <w:lang w:val="en-AU"/>
        </w:rPr>
        <w:lastRenderedPageBreak/>
        <w:t>of the model</w:t>
      </w:r>
      <w:r w:rsidR="001B5F72">
        <w:rPr>
          <w:lang w:val="en-AU"/>
        </w:rPr>
        <w:t>,</w:t>
      </w:r>
      <w:r w:rsidRPr="00A640CD">
        <w:rPr>
          <w:lang w:val="en-AU"/>
        </w:rPr>
        <w:t xml:space="preserve"> with slight reordering of the Swiss version</w:t>
      </w:r>
      <w:r w:rsidR="001B5F72">
        <w:rPr>
          <w:lang w:val="en-AU"/>
        </w:rPr>
        <w:t>,</w:t>
      </w:r>
      <w:r w:rsidRPr="00A640CD">
        <w:rPr>
          <w:lang w:val="en-AU"/>
        </w:rPr>
        <w:t xml:space="preserve"> was created</w:t>
      </w:r>
      <w:r w:rsidR="001B5F72">
        <w:rPr>
          <w:rStyle w:val="FootnoteReference"/>
          <w:lang w:val="en-AU"/>
        </w:rPr>
        <w:footnoteReference w:id="88"/>
      </w:r>
      <w:r w:rsidRPr="00A640CD">
        <w:rPr>
          <w:lang w:val="en-AU"/>
        </w:rPr>
        <w:t xml:space="preserve"> establishing the ordering (and numbering except that relief was in arts 23 and 24 rather than </w:t>
      </w:r>
      <w:proofErr w:type="spellStart"/>
      <w:r w:rsidRPr="00A640CD">
        <w:rPr>
          <w:lang w:val="en-AU"/>
        </w:rPr>
        <w:t>23A</w:t>
      </w:r>
      <w:proofErr w:type="spellEnd"/>
      <w:r w:rsidRPr="00A640CD">
        <w:rPr>
          <w:lang w:val="en-AU"/>
        </w:rPr>
        <w:t xml:space="preserve"> and </w:t>
      </w:r>
      <w:proofErr w:type="spellStart"/>
      <w:r w:rsidRPr="00A640CD">
        <w:rPr>
          <w:lang w:val="en-AU"/>
        </w:rPr>
        <w:t>23B</w:t>
      </w:r>
      <w:proofErr w:type="spellEnd"/>
      <w:r w:rsidRPr="00A640CD">
        <w:rPr>
          <w:lang w:val="en-AU"/>
        </w:rPr>
        <w:t>) that prevailed until the introduction of assistance in collection in 2003, together with the breakdown into chapters.</w:t>
      </w:r>
    </w:p>
    <w:p w14:paraId="54F365BE" w14:textId="777F7E45" w:rsidR="007A315A" w:rsidRPr="00A640CD" w:rsidRDefault="00F653B4" w:rsidP="00F653B4">
      <w:pPr>
        <w:pStyle w:val="Heading4"/>
        <w:rPr>
          <w:lang w:val="en-AU"/>
        </w:rPr>
      </w:pPr>
      <w:r>
        <w:rPr>
          <w:lang w:val="en-AU"/>
        </w:rPr>
        <w:t xml:space="preserve">The change </w:t>
      </w:r>
      <w:r w:rsidR="00D605ED">
        <w:rPr>
          <w:lang w:val="en-AU"/>
        </w:rPr>
        <w:t xml:space="preserve">from the </w:t>
      </w:r>
      <w:proofErr w:type="spellStart"/>
      <w:r w:rsidR="00D605ED">
        <w:rPr>
          <w:lang w:val="en-AU"/>
        </w:rPr>
        <w:t>OEEC</w:t>
      </w:r>
      <w:proofErr w:type="spellEnd"/>
      <w:r w:rsidR="00D605ED">
        <w:rPr>
          <w:lang w:val="en-AU"/>
        </w:rPr>
        <w:t xml:space="preserve"> </w:t>
      </w:r>
      <w:r>
        <w:rPr>
          <w:lang w:val="en-AU"/>
        </w:rPr>
        <w:t>to the OECD</w:t>
      </w:r>
    </w:p>
    <w:p w14:paraId="552F0E4C" w14:textId="18468979" w:rsidR="00775155" w:rsidRDefault="00BB5B56" w:rsidP="00E125E4">
      <w:pPr>
        <w:pStyle w:val="BodyText"/>
        <w:rPr>
          <w:lang w:val="en-AU"/>
        </w:rPr>
      </w:pPr>
      <w:r w:rsidRPr="00BB5B56">
        <w:rPr>
          <w:lang w:val="en-AU"/>
        </w:rPr>
        <w:t xml:space="preserve">The </w:t>
      </w:r>
      <w:proofErr w:type="spellStart"/>
      <w:r w:rsidRPr="00BB5B56">
        <w:rPr>
          <w:lang w:val="en-AU"/>
        </w:rPr>
        <w:t>OEEC</w:t>
      </w:r>
      <w:proofErr w:type="spellEnd"/>
      <w:r w:rsidRPr="00BB5B56">
        <w:rPr>
          <w:lang w:val="en-AU"/>
        </w:rPr>
        <w:t xml:space="preserve"> became the OECD on 30 September 1961 which meant that Canada and the US were now full members of the FC and not just </w:t>
      </w:r>
      <w:r w:rsidR="00303775">
        <w:rPr>
          <w:lang w:val="en-AU"/>
        </w:rPr>
        <w:t>associates</w:t>
      </w:r>
      <w:r w:rsidR="00E125E4">
        <w:rPr>
          <w:lang w:val="en-AU"/>
        </w:rPr>
        <w:t>. The timing was unfortunate.</w:t>
      </w:r>
      <w:r w:rsidR="00054BE9">
        <w:rPr>
          <w:lang w:val="en-AU"/>
        </w:rPr>
        <w:t xml:space="preserve"> </w:t>
      </w:r>
      <w:r w:rsidR="00775155">
        <w:rPr>
          <w:lang w:val="en-AU"/>
        </w:rPr>
        <w:t>T</w:t>
      </w:r>
      <w:r w:rsidR="00054BE9" w:rsidRPr="00054BE9">
        <w:rPr>
          <w:lang w:val="en-AU"/>
        </w:rPr>
        <w:t>he January and March 1963 FC meetings saw the effective finalisation of the outstanding two articles and commentaries.</w:t>
      </w:r>
      <w:r w:rsidR="00775155">
        <w:rPr>
          <w:rStyle w:val="FootnoteReference"/>
          <w:lang w:val="en-AU"/>
        </w:rPr>
        <w:footnoteReference w:id="89"/>
      </w:r>
      <w:r w:rsidR="00775155">
        <w:rPr>
          <w:lang w:val="en-AU"/>
        </w:rPr>
        <w:t xml:space="preserve"> </w:t>
      </w:r>
      <w:r w:rsidR="00775155" w:rsidRPr="00613039">
        <w:rPr>
          <w:lang w:val="en-AU"/>
        </w:rPr>
        <w:t xml:space="preserve">At the May </w:t>
      </w:r>
      <w:r w:rsidR="00775155">
        <w:rPr>
          <w:lang w:val="en-AU"/>
        </w:rPr>
        <w:t xml:space="preserve">1963 </w:t>
      </w:r>
      <w:r w:rsidR="00775155" w:rsidRPr="00613039">
        <w:rPr>
          <w:lang w:val="en-AU"/>
        </w:rPr>
        <w:t xml:space="preserve">meeting the US tabled a lengthy letter from US Treasury Assistant Secretary </w:t>
      </w:r>
      <w:r w:rsidR="00775155">
        <w:rPr>
          <w:lang w:val="en-AU"/>
        </w:rPr>
        <w:t xml:space="preserve">Stanley </w:t>
      </w:r>
      <w:r w:rsidR="00775155" w:rsidRPr="00613039">
        <w:rPr>
          <w:lang w:val="en-AU"/>
        </w:rPr>
        <w:t>Surrey putting many US concerns about the draft and emphasising its provisional nature (Canada and the US had earlier indicated that as they had only come late to the process as OECD members there were many issues they wanted to canvass further</w:t>
      </w:r>
      <w:r w:rsidR="00775155">
        <w:rPr>
          <w:rStyle w:val="FootnoteReference"/>
          <w:lang w:val="en-AU"/>
        </w:rPr>
        <w:footnoteReference w:id="90"/>
      </w:r>
      <w:r w:rsidR="00775155" w:rsidRPr="00613039">
        <w:rPr>
          <w:lang w:val="en-AU"/>
        </w:rPr>
        <w:t>).</w:t>
      </w:r>
      <w:r w:rsidR="00775155">
        <w:rPr>
          <w:rStyle w:val="FootnoteReference"/>
          <w:lang w:val="en-AU"/>
        </w:rPr>
        <w:footnoteReference w:id="91"/>
      </w:r>
      <w:r w:rsidR="00775155" w:rsidRPr="00613039">
        <w:rPr>
          <w:lang w:val="en-AU"/>
        </w:rPr>
        <w:t xml:space="preserve"> The US tabled extensive proposals for amendments</w:t>
      </w:r>
      <w:r w:rsidR="008330AF">
        <w:rPr>
          <w:lang w:val="en-AU"/>
        </w:rPr>
        <w:t xml:space="preserve"> to the draft Report to the Council</w:t>
      </w:r>
      <w:r w:rsidR="00775155" w:rsidRPr="00613039">
        <w:rPr>
          <w:lang w:val="en-AU"/>
        </w:rPr>
        <w:t>.</w:t>
      </w:r>
      <w:r w:rsidR="008330AF">
        <w:rPr>
          <w:rStyle w:val="FootnoteReference"/>
          <w:lang w:val="en-AU"/>
        </w:rPr>
        <w:footnoteReference w:id="92"/>
      </w:r>
      <w:r w:rsidR="00775155" w:rsidRPr="00613039">
        <w:rPr>
          <w:lang w:val="en-AU"/>
        </w:rPr>
        <w:t xml:space="preserve"> </w:t>
      </w:r>
      <w:r w:rsidR="008330AF" w:rsidRPr="00613039">
        <w:rPr>
          <w:lang w:val="en-AU"/>
        </w:rPr>
        <w:t xml:space="preserve">As the group of documents were due to go to the Council by mid-year, there was very little time for the FC to consider them. </w:t>
      </w:r>
      <w:r w:rsidR="00775155" w:rsidRPr="00613039">
        <w:rPr>
          <w:lang w:val="en-AU"/>
        </w:rPr>
        <w:t xml:space="preserve">The FC agreed to amend the report to indicate </w:t>
      </w:r>
      <w:r w:rsidR="008330AF">
        <w:rPr>
          <w:lang w:val="en-AU"/>
        </w:rPr>
        <w:t>‘</w:t>
      </w:r>
      <w:r w:rsidR="00775155" w:rsidRPr="00613039">
        <w:rPr>
          <w:lang w:val="en-AU"/>
        </w:rPr>
        <w:t>the preliminary character of the draft Convention and the additions and improvements which might be made to it</w:t>
      </w:r>
      <w:r w:rsidR="008330AF">
        <w:rPr>
          <w:lang w:val="en-AU"/>
        </w:rPr>
        <w:t>’</w:t>
      </w:r>
      <w:r w:rsidR="00775155" w:rsidRPr="00613039">
        <w:rPr>
          <w:lang w:val="en-AU"/>
        </w:rPr>
        <w:t xml:space="preserve"> along with other unspecified changes. In response to comments that the EEC and EFTA were proposing to examine the use of the draft as the basis for multilateral treaties among their members the FC agreed to add this to the discussion of multilateral treaties in the report. The secretariat was asked to revise the report as agreed for the meeting of the Drafting Group at the end of May which it did</w:t>
      </w:r>
      <w:r w:rsidR="008330AF">
        <w:rPr>
          <w:lang w:val="en-AU"/>
        </w:rPr>
        <w:t>,</w:t>
      </w:r>
      <w:r w:rsidR="008330AF">
        <w:rPr>
          <w:rStyle w:val="FootnoteReference"/>
          <w:lang w:val="en-AU"/>
        </w:rPr>
        <w:footnoteReference w:id="93"/>
      </w:r>
      <w:r w:rsidR="00775155" w:rsidRPr="00613039">
        <w:rPr>
          <w:lang w:val="en-AU"/>
        </w:rPr>
        <w:t xml:space="preserve"> highlighting with</w:t>
      </w:r>
      <w:r w:rsidR="00010B82">
        <w:rPr>
          <w:lang w:val="en-AU"/>
        </w:rPr>
        <w:t xml:space="preserve"> ‘</w:t>
      </w:r>
      <w:r w:rsidR="00775155" w:rsidRPr="00613039">
        <w:rPr>
          <w:lang w:val="en-AU"/>
        </w:rPr>
        <w:t>X</w:t>
      </w:r>
      <w:r w:rsidR="00C926FD">
        <w:rPr>
          <w:lang w:val="en-AU"/>
        </w:rPr>
        <w:t>’</w:t>
      </w:r>
      <w:r w:rsidR="00775155" w:rsidRPr="00613039">
        <w:rPr>
          <w:lang w:val="en-AU"/>
        </w:rPr>
        <w:t xml:space="preserve">s where changes were made, including incorporation of the US comments </w:t>
      </w:r>
      <w:r w:rsidR="008330AF">
        <w:rPr>
          <w:lang w:val="en-AU"/>
        </w:rPr>
        <w:t>‘</w:t>
      </w:r>
      <w:r w:rsidR="00775155" w:rsidRPr="00613039">
        <w:rPr>
          <w:lang w:val="en-AU"/>
        </w:rPr>
        <w:t>either in their original form or in a shortened or slightly amended version</w:t>
      </w:r>
      <w:r w:rsidR="008330AF">
        <w:rPr>
          <w:lang w:val="en-AU"/>
        </w:rPr>
        <w:t>.’</w:t>
      </w:r>
      <w:r w:rsidR="008330AF">
        <w:rPr>
          <w:rStyle w:val="FootnoteReference"/>
          <w:lang w:val="en-AU"/>
        </w:rPr>
        <w:footnoteReference w:id="94"/>
      </w:r>
      <w:r w:rsidR="00775155" w:rsidRPr="00613039">
        <w:rPr>
          <w:lang w:val="en-AU"/>
        </w:rPr>
        <w:t xml:space="preserve"> On the articles and commentaries, the FC made some formal amendments, agreed to incorporate Canada’s list of reservations on the draft articles, asked the Drafting Group to consider some commentary amendments proposed by Belgium on arts 5 and 7, and made some factual corrections.</w:t>
      </w:r>
    </w:p>
    <w:p w14:paraId="2EE7EE24" w14:textId="0E9B41C3" w:rsidR="00054BE9" w:rsidRPr="00613039" w:rsidRDefault="00054BE9" w:rsidP="00054BE9">
      <w:pPr>
        <w:pStyle w:val="BodyText"/>
        <w:rPr>
          <w:lang w:val="en-AU"/>
        </w:rPr>
      </w:pPr>
      <w:r w:rsidRPr="00613039">
        <w:rPr>
          <w:lang w:val="en-AU"/>
        </w:rPr>
        <w:t xml:space="preserve">But as partly demonstrated by the late US intervention in the process when it joined the OECD through </w:t>
      </w:r>
      <w:r w:rsidR="00EF79F2">
        <w:rPr>
          <w:lang w:val="en-AU"/>
        </w:rPr>
        <w:t xml:space="preserve">Stanley </w:t>
      </w:r>
      <w:r w:rsidRPr="00613039">
        <w:rPr>
          <w:lang w:val="en-AU"/>
        </w:rPr>
        <w:t xml:space="preserve">Surrey who is well-known as a policy and structural person, the achievement of the OECD draft model on the policy and integration front was very modest. Although the US initially considered that the issues could be addressed within a year, the influence of the structure in place by the time the US joined the OECD persists still. Just one of the US policy objectives of dealing with treaty abuse took over 50 years to achieve in the BEPS project. </w:t>
      </w:r>
    </w:p>
    <w:p w14:paraId="061D2AB0" w14:textId="243F52C2" w:rsidR="00613039" w:rsidRDefault="00575229" w:rsidP="00575229">
      <w:pPr>
        <w:pStyle w:val="Heading4"/>
        <w:rPr>
          <w:lang w:val="en-AU"/>
        </w:rPr>
      </w:pPr>
      <w:r>
        <w:rPr>
          <w:lang w:val="en-AU"/>
        </w:rPr>
        <w:t>Conclusion</w:t>
      </w:r>
      <w:r w:rsidR="00A41EB9">
        <w:rPr>
          <w:lang w:val="en-AU"/>
        </w:rPr>
        <w:t xml:space="preserve"> on the plan for the 1963 Draft</w:t>
      </w:r>
    </w:p>
    <w:p w14:paraId="742C2C50" w14:textId="174F7E2D" w:rsidR="00E125E4" w:rsidRDefault="0057689B" w:rsidP="00613039">
      <w:pPr>
        <w:pStyle w:val="BodyText"/>
        <w:rPr>
          <w:lang w:val="en-AU"/>
        </w:rPr>
      </w:pPr>
      <w:r>
        <w:rPr>
          <w:lang w:val="en-AU"/>
        </w:rPr>
        <w:t xml:space="preserve">Our conclusion is that </w:t>
      </w:r>
      <w:r w:rsidRPr="00613039">
        <w:rPr>
          <w:lang w:val="en-AU"/>
        </w:rPr>
        <w:t xml:space="preserve">there never was a grand plan at least in the </w:t>
      </w:r>
      <w:proofErr w:type="spellStart"/>
      <w:r w:rsidRPr="00613039">
        <w:rPr>
          <w:lang w:val="en-AU"/>
        </w:rPr>
        <w:t>OEEC</w:t>
      </w:r>
      <w:proofErr w:type="spellEnd"/>
      <w:r w:rsidRPr="00613039">
        <w:rPr>
          <w:lang w:val="en-AU"/>
        </w:rPr>
        <w:t xml:space="preserve">/OECD written records for the policy and structure for the OECD 1963 draft convention and no one </w:t>
      </w:r>
      <w:r w:rsidRPr="00613039">
        <w:rPr>
          <w:lang w:val="en-AU"/>
        </w:rPr>
        <w:lastRenderedPageBreak/>
        <w:t xml:space="preserve">was ever formally charged with and carried out that task. </w:t>
      </w:r>
      <w:r>
        <w:rPr>
          <w:lang w:val="en-AU"/>
        </w:rPr>
        <w:t xml:space="preserve">In all cases the people who might </w:t>
      </w:r>
      <w:r w:rsidR="007B2871">
        <w:rPr>
          <w:lang w:val="en-AU"/>
        </w:rPr>
        <w:t xml:space="preserve">have </w:t>
      </w:r>
      <w:r w:rsidR="00A41EB9">
        <w:rPr>
          <w:lang w:val="en-AU"/>
        </w:rPr>
        <w:t>achieved a grand plan</w:t>
      </w:r>
      <w:r>
        <w:rPr>
          <w:lang w:val="en-AU"/>
        </w:rPr>
        <w:t xml:space="preserve"> failed. </w:t>
      </w:r>
      <w:r w:rsidR="00F36FF3">
        <w:rPr>
          <w:lang w:val="en-AU"/>
        </w:rPr>
        <w:t xml:space="preserve">We have already </w:t>
      </w:r>
      <w:r w:rsidR="009F5E04">
        <w:rPr>
          <w:lang w:val="en-AU"/>
        </w:rPr>
        <w:t>summarised our views</w:t>
      </w:r>
      <w:r w:rsidR="00F36FF3">
        <w:rPr>
          <w:lang w:val="en-AU"/>
        </w:rPr>
        <w:t xml:space="preserve"> on the Drafting Committee and </w:t>
      </w:r>
      <w:proofErr w:type="spellStart"/>
      <w:r w:rsidR="00F36FF3">
        <w:rPr>
          <w:lang w:val="en-AU"/>
        </w:rPr>
        <w:t>WP</w:t>
      </w:r>
      <w:r w:rsidR="00F75DED">
        <w:rPr>
          <w:lang w:val="en-AU"/>
        </w:rPr>
        <w:t>s</w:t>
      </w:r>
      <w:r w:rsidR="00F36FF3">
        <w:rPr>
          <w:lang w:val="en-AU"/>
        </w:rPr>
        <w:t>14</w:t>
      </w:r>
      <w:proofErr w:type="spellEnd"/>
      <w:r w:rsidR="00F75DED">
        <w:rPr>
          <w:lang w:val="en-AU"/>
        </w:rPr>
        <w:t>, 15 and 2</w:t>
      </w:r>
      <w:r w:rsidR="00DE6E32">
        <w:rPr>
          <w:lang w:val="en-AU"/>
        </w:rPr>
        <w:t xml:space="preserve">, </w:t>
      </w:r>
      <w:r w:rsidR="00F36FF3">
        <w:rPr>
          <w:lang w:val="en-AU"/>
        </w:rPr>
        <w:t>and we turn to the other possible parties.</w:t>
      </w:r>
    </w:p>
    <w:p w14:paraId="658CB58D" w14:textId="4AFDE3EB" w:rsidR="00E125E4" w:rsidRDefault="0057689B" w:rsidP="00613039">
      <w:pPr>
        <w:pStyle w:val="BodyText"/>
        <w:rPr>
          <w:lang w:val="en-AU"/>
        </w:rPr>
      </w:pPr>
      <w:r>
        <w:rPr>
          <w:lang w:val="en-AU"/>
        </w:rPr>
        <w:t>T</w:t>
      </w:r>
      <w:r w:rsidRPr="00613039">
        <w:rPr>
          <w:lang w:val="en-AU"/>
        </w:rPr>
        <w:t xml:space="preserve">he FC, </w:t>
      </w:r>
      <w:r>
        <w:rPr>
          <w:lang w:val="en-AU"/>
        </w:rPr>
        <w:t xml:space="preserve">as </w:t>
      </w:r>
      <w:r w:rsidRPr="00613039">
        <w:rPr>
          <w:lang w:val="en-AU"/>
        </w:rPr>
        <w:t>its meetings demonstrate</w:t>
      </w:r>
      <w:r>
        <w:rPr>
          <w:lang w:val="en-AU"/>
        </w:rPr>
        <w:t>,</w:t>
      </w:r>
      <w:r w:rsidRPr="00613039">
        <w:rPr>
          <w:lang w:val="en-AU"/>
        </w:rPr>
        <w:t xml:space="preserve"> </w:t>
      </w:r>
      <w:r>
        <w:rPr>
          <w:lang w:val="en-AU"/>
        </w:rPr>
        <w:t xml:space="preserve">had </w:t>
      </w:r>
      <w:r w:rsidRPr="00613039">
        <w:rPr>
          <w:lang w:val="en-AU"/>
        </w:rPr>
        <w:t>the collective expertise to identify policy and structural problems but not to solve them as delegates and countries tended to persist with their preferred solution to a particular problem rather than look at them from a collective standpoint. Time and again WPs are told to go away and produce a new version of a report based on the conflicting views expressed by delegates until exhaustion mean</w:t>
      </w:r>
      <w:r>
        <w:rPr>
          <w:lang w:val="en-AU"/>
        </w:rPr>
        <w:t>t</w:t>
      </w:r>
      <w:r w:rsidRPr="00613039">
        <w:rPr>
          <w:lang w:val="en-AU"/>
        </w:rPr>
        <w:t xml:space="preserve"> that an issue is </w:t>
      </w:r>
      <w:r w:rsidR="007F3C06" w:rsidRPr="00613039">
        <w:rPr>
          <w:lang w:val="en-AU"/>
        </w:rPr>
        <w:t>buried,</w:t>
      </w:r>
      <w:r w:rsidRPr="00613039">
        <w:rPr>
          <w:lang w:val="en-AU"/>
        </w:rPr>
        <w:t xml:space="preserve"> or some kind of ad hoc compromise is struck.</w:t>
      </w:r>
      <w:r w:rsidRPr="0057689B">
        <w:rPr>
          <w:lang w:val="en-AU"/>
        </w:rPr>
        <w:t xml:space="preserve"> </w:t>
      </w:r>
      <w:r>
        <w:rPr>
          <w:lang w:val="en-AU"/>
        </w:rPr>
        <w:t>I</w:t>
      </w:r>
      <w:r w:rsidRPr="00613039">
        <w:rPr>
          <w:lang w:val="en-AU"/>
        </w:rPr>
        <w:t xml:space="preserve">t is not evident that the secretariat had the resources, skills or power to drive the agenda. They perform an excellent secretariat function of producing documents, keeping work moving and reminding the FC delegates of the wider </w:t>
      </w:r>
      <w:proofErr w:type="spellStart"/>
      <w:r w:rsidRPr="00613039">
        <w:rPr>
          <w:lang w:val="en-AU"/>
        </w:rPr>
        <w:t>OEEC</w:t>
      </w:r>
      <w:proofErr w:type="spellEnd"/>
      <w:r w:rsidRPr="00613039">
        <w:rPr>
          <w:lang w:val="en-AU"/>
        </w:rPr>
        <w:t xml:space="preserve"> objectives.</w:t>
      </w:r>
      <w:r w:rsidRPr="0057689B">
        <w:rPr>
          <w:lang w:val="en-AU"/>
        </w:rPr>
        <w:t xml:space="preserve"> </w:t>
      </w:r>
      <w:r w:rsidR="00614F4E">
        <w:rPr>
          <w:lang w:val="en-AU"/>
        </w:rPr>
        <w:t xml:space="preserve">The US would have been a good influence in this respect but they came on the scene </w:t>
      </w:r>
      <w:r w:rsidR="00A41EB9">
        <w:rPr>
          <w:lang w:val="en-AU"/>
        </w:rPr>
        <w:t xml:space="preserve">only </w:t>
      </w:r>
      <w:r w:rsidR="00614F4E">
        <w:rPr>
          <w:lang w:val="en-AU"/>
        </w:rPr>
        <w:t>when the 1963 Draft was almost complete.</w:t>
      </w:r>
    </w:p>
    <w:p w14:paraId="44F167F8" w14:textId="41AC21B4" w:rsidR="0057689B" w:rsidRDefault="0057689B" w:rsidP="00613039">
      <w:pPr>
        <w:pStyle w:val="BodyText"/>
        <w:rPr>
          <w:lang w:val="en-AU"/>
        </w:rPr>
      </w:pPr>
      <w:r w:rsidRPr="00613039">
        <w:rPr>
          <w:lang w:val="en-AU"/>
        </w:rPr>
        <w:t xml:space="preserve">So far as the delegates are concerned there are only two real possibilities, the Chair van den </w:t>
      </w:r>
      <w:proofErr w:type="spellStart"/>
      <w:r w:rsidRPr="00613039">
        <w:rPr>
          <w:lang w:val="en-AU"/>
        </w:rPr>
        <w:t>Tempel</w:t>
      </w:r>
      <w:proofErr w:type="spellEnd"/>
      <w:r w:rsidRPr="00613039">
        <w:rPr>
          <w:lang w:val="en-AU"/>
        </w:rPr>
        <w:t xml:space="preserve"> and the Swiss delegate </w:t>
      </w:r>
      <w:proofErr w:type="spellStart"/>
      <w:r w:rsidRPr="00613039">
        <w:rPr>
          <w:lang w:val="en-AU"/>
        </w:rPr>
        <w:t>Locher</w:t>
      </w:r>
      <w:proofErr w:type="spellEnd"/>
      <w:r w:rsidRPr="00613039">
        <w:rPr>
          <w:lang w:val="en-AU"/>
        </w:rPr>
        <w:t xml:space="preserve">. It is obvious in various ways that France, Germany and the UK </w:t>
      </w:r>
      <w:r w:rsidR="00D605ED">
        <w:rPr>
          <w:lang w:val="en-AU"/>
        </w:rPr>
        <w:t>wer</w:t>
      </w:r>
      <w:r w:rsidRPr="00613039">
        <w:rPr>
          <w:lang w:val="en-AU"/>
        </w:rPr>
        <w:t>e viewed as the most powerful countries and the ones which may need to be accommodated but they d</w:t>
      </w:r>
      <w:r w:rsidR="00D605ED">
        <w:rPr>
          <w:lang w:val="en-AU"/>
        </w:rPr>
        <w:t>id</w:t>
      </w:r>
      <w:r w:rsidRPr="00613039">
        <w:rPr>
          <w:lang w:val="en-AU"/>
        </w:rPr>
        <w:t xml:space="preserve"> not take the formal positions (except the French Vice-chair who also seems to miss quite a few meetings) leaving those positions to the Netherlands, Sweden and Switzerland.</w:t>
      </w:r>
      <w:r w:rsidR="00575229" w:rsidRPr="00575229">
        <w:rPr>
          <w:lang w:val="en-AU"/>
        </w:rPr>
        <w:t xml:space="preserve"> </w:t>
      </w:r>
      <w:r w:rsidR="00575229" w:rsidRPr="00613039">
        <w:rPr>
          <w:lang w:val="en-AU"/>
        </w:rPr>
        <w:t xml:space="preserve">Much like the secretariat, van den </w:t>
      </w:r>
      <w:proofErr w:type="spellStart"/>
      <w:r w:rsidR="00575229" w:rsidRPr="00613039">
        <w:rPr>
          <w:lang w:val="en-AU"/>
        </w:rPr>
        <w:t>Tempel</w:t>
      </w:r>
      <w:proofErr w:type="spellEnd"/>
      <w:r w:rsidR="00575229" w:rsidRPr="00613039">
        <w:rPr>
          <w:lang w:val="en-AU"/>
        </w:rPr>
        <w:t xml:space="preserve"> </w:t>
      </w:r>
      <w:r w:rsidR="00575229">
        <w:rPr>
          <w:lang w:val="en-AU"/>
        </w:rPr>
        <w:t>wa</w:t>
      </w:r>
      <w:r w:rsidR="00575229" w:rsidRPr="00613039">
        <w:rPr>
          <w:lang w:val="en-AU"/>
        </w:rPr>
        <w:t>s a good chair but it is not clear that he had thought beyond process and performance.</w:t>
      </w:r>
    </w:p>
    <w:p w14:paraId="29E87028" w14:textId="5AD2CFD8" w:rsidR="00575229" w:rsidRPr="00613039" w:rsidRDefault="00575229" w:rsidP="00575229">
      <w:pPr>
        <w:pStyle w:val="BodyText"/>
        <w:rPr>
          <w:lang w:val="en-AU"/>
        </w:rPr>
      </w:pPr>
      <w:r w:rsidRPr="00613039">
        <w:rPr>
          <w:lang w:val="en-AU"/>
        </w:rPr>
        <w:t xml:space="preserve">Almost by default, one is driven to </w:t>
      </w:r>
      <w:proofErr w:type="spellStart"/>
      <w:r w:rsidRPr="00613039">
        <w:rPr>
          <w:lang w:val="en-AU"/>
        </w:rPr>
        <w:t>Locher</w:t>
      </w:r>
      <w:proofErr w:type="spellEnd"/>
      <w:r w:rsidRPr="00613039">
        <w:rPr>
          <w:lang w:val="en-AU"/>
        </w:rPr>
        <w:t xml:space="preserve"> as the main person responsible for policy and integration in relation to the 1963 draft model. It is surprising how often throughout the process Switzerland takes the lead in suggesting solutions to problems, proposing new issues for consideration, or coming up with a draft or idea during FC meetings. </w:t>
      </w:r>
      <w:r w:rsidR="00F653B4">
        <w:rPr>
          <w:lang w:val="en-AU"/>
        </w:rPr>
        <w:t xml:space="preserve">Switzerland </w:t>
      </w:r>
      <w:r>
        <w:rPr>
          <w:lang w:val="en-AU"/>
        </w:rPr>
        <w:t xml:space="preserve">had the great advantage that they had already solved many of the problems </w:t>
      </w:r>
      <w:r w:rsidR="005071CC">
        <w:rPr>
          <w:lang w:val="en-AU"/>
        </w:rPr>
        <w:t xml:space="preserve">because </w:t>
      </w:r>
      <w:r>
        <w:rPr>
          <w:lang w:val="en-AU"/>
        </w:rPr>
        <w:t>the same ones existed in the relations between the Cantons</w:t>
      </w:r>
      <w:r w:rsidR="00F653B4">
        <w:rPr>
          <w:lang w:val="en-AU"/>
        </w:rPr>
        <w:t xml:space="preserve"> which were the important taxing bodies</w:t>
      </w:r>
      <w:r>
        <w:rPr>
          <w:lang w:val="en-AU"/>
        </w:rPr>
        <w:t xml:space="preserve">. </w:t>
      </w:r>
      <w:r w:rsidR="00F653B4">
        <w:rPr>
          <w:lang w:val="en-AU"/>
        </w:rPr>
        <w:t>It</w:t>
      </w:r>
      <w:r w:rsidRPr="00613039">
        <w:rPr>
          <w:lang w:val="en-AU"/>
        </w:rPr>
        <w:t xml:space="preserve"> also seems to be the greatest contributor of written documents in the TFD/FC and FC series </w:t>
      </w:r>
      <w:r w:rsidR="005071CC">
        <w:rPr>
          <w:lang w:val="en-AU"/>
        </w:rPr>
        <w:t xml:space="preserve">out of </w:t>
      </w:r>
      <w:proofErr w:type="spellStart"/>
      <w:r w:rsidRPr="00613039">
        <w:rPr>
          <w:lang w:val="en-AU"/>
        </w:rPr>
        <w:t>OEEC</w:t>
      </w:r>
      <w:proofErr w:type="spellEnd"/>
      <w:r w:rsidRPr="00613039">
        <w:rPr>
          <w:lang w:val="en-AU"/>
        </w:rPr>
        <w:t xml:space="preserve">/OECD member countries. Switzerland produced the outline for the 1963 draft as the end of the process neared. Yet for most of the time </w:t>
      </w:r>
      <w:proofErr w:type="spellStart"/>
      <w:r w:rsidRPr="00613039">
        <w:rPr>
          <w:lang w:val="en-AU"/>
        </w:rPr>
        <w:t>Locher</w:t>
      </w:r>
      <w:proofErr w:type="spellEnd"/>
      <w:r w:rsidRPr="00613039">
        <w:rPr>
          <w:lang w:val="en-AU"/>
        </w:rPr>
        <w:t xml:space="preserve"> was not in a position of influence – not from </w:t>
      </w:r>
      <w:r w:rsidR="007B2871">
        <w:rPr>
          <w:lang w:val="en-AU"/>
        </w:rPr>
        <w:t>a</w:t>
      </w:r>
      <w:r w:rsidRPr="00613039">
        <w:rPr>
          <w:lang w:val="en-AU"/>
        </w:rPr>
        <w:t xml:space="preserve"> great power and not a Vice-chair for the early </w:t>
      </w:r>
      <w:proofErr w:type="spellStart"/>
      <w:r w:rsidRPr="00613039">
        <w:rPr>
          <w:lang w:val="en-AU"/>
        </w:rPr>
        <w:t>OEEC</w:t>
      </w:r>
      <w:proofErr w:type="spellEnd"/>
      <w:r w:rsidRPr="00613039">
        <w:rPr>
          <w:lang w:val="en-AU"/>
        </w:rPr>
        <w:t xml:space="preserve"> years. Yet in 1959 he became both an additional Vice-chair and Acting Chair when van den </w:t>
      </w:r>
      <w:proofErr w:type="spellStart"/>
      <w:r w:rsidRPr="00613039">
        <w:rPr>
          <w:lang w:val="en-AU"/>
        </w:rPr>
        <w:t>Tempel</w:t>
      </w:r>
      <w:proofErr w:type="spellEnd"/>
      <w:r w:rsidRPr="00613039">
        <w:rPr>
          <w:lang w:val="en-AU"/>
        </w:rPr>
        <w:t xml:space="preserve"> was unavailable due to ill health, even though there were two other Vice-chairs who had been in office from the beginning. </w:t>
      </w:r>
      <w:r w:rsidR="008C542E">
        <w:rPr>
          <w:lang w:val="en-AU"/>
        </w:rPr>
        <w:t>Even so his influence seems to have been limited.</w:t>
      </w:r>
      <w:r w:rsidRPr="00613039">
        <w:rPr>
          <w:lang w:val="en-AU"/>
        </w:rPr>
        <w:t xml:space="preserve"> </w:t>
      </w:r>
    </w:p>
    <w:p w14:paraId="4A2BB01F" w14:textId="0BBD3FB8" w:rsidR="00575229" w:rsidRDefault="00F36FF3" w:rsidP="00613039">
      <w:pPr>
        <w:pStyle w:val="BodyText"/>
        <w:rPr>
          <w:lang w:val="en-AU"/>
        </w:rPr>
      </w:pPr>
      <w:r>
        <w:rPr>
          <w:lang w:val="en-AU"/>
        </w:rPr>
        <w:t>Apart from the people concerned</w:t>
      </w:r>
      <w:r w:rsidR="00DE6E32">
        <w:rPr>
          <w:lang w:val="en-AU"/>
        </w:rPr>
        <w:t>,</w:t>
      </w:r>
      <w:r>
        <w:rPr>
          <w:lang w:val="en-AU"/>
        </w:rPr>
        <w:t xml:space="preserve"> a</w:t>
      </w:r>
      <w:r w:rsidR="005071CC">
        <w:rPr>
          <w:lang w:val="en-AU"/>
        </w:rPr>
        <w:t xml:space="preserve"> major </w:t>
      </w:r>
      <w:r w:rsidR="00575229">
        <w:rPr>
          <w:lang w:val="en-AU"/>
        </w:rPr>
        <w:t xml:space="preserve">failing </w:t>
      </w:r>
      <w:r w:rsidR="00A41EB9">
        <w:rPr>
          <w:lang w:val="en-AU"/>
        </w:rPr>
        <w:t xml:space="preserve">of the whole procedure </w:t>
      </w:r>
      <w:r w:rsidR="005071CC">
        <w:rPr>
          <w:lang w:val="en-AU"/>
        </w:rPr>
        <w:t xml:space="preserve">was that </w:t>
      </w:r>
      <w:r w:rsidR="00DE6E32">
        <w:rPr>
          <w:lang w:val="en-AU"/>
        </w:rPr>
        <w:t xml:space="preserve">at the start </w:t>
      </w:r>
      <w:r w:rsidR="005071CC">
        <w:rPr>
          <w:lang w:val="en-AU"/>
        </w:rPr>
        <w:t>no thought was given to the ordering of the work. T</w:t>
      </w:r>
      <w:r w:rsidR="008C542E">
        <w:rPr>
          <w:lang w:val="en-AU"/>
        </w:rPr>
        <w:t>hree</w:t>
      </w:r>
      <w:r w:rsidR="005071CC">
        <w:rPr>
          <w:lang w:val="en-AU"/>
        </w:rPr>
        <w:t xml:space="preserve"> of the most important structural articles, arts 1</w:t>
      </w:r>
      <w:r w:rsidR="008C542E">
        <w:rPr>
          <w:lang w:val="en-AU"/>
        </w:rPr>
        <w:t>, 3</w:t>
      </w:r>
      <w:r w:rsidR="005071CC">
        <w:rPr>
          <w:lang w:val="en-AU"/>
        </w:rPr>
        <w:t xml:space="preserve"> and 21, </w:t>
      </w:r>
      <w:r w:rsidR="00F653B4">
        <w:rPr>
          <w:lang w:val="en-AU"/>
        </w:rPr>
        <w:t xml:space="preserve">were the responsibility of </w:t>
      </w:r>
      <w:proofErr w:type="spellStart"/>
      <w:r w:rsidR="005071CC">
        <w:rPr>
          <w:lang w:val="en-AU"/>
        </w:rPr>
        <w:t>WP14</w:t>
      </w:r>
      <w:proofErr w:type="spellEnd"/>
      <w:r w:rsidR="005071CC">
        <w:rPr>
          <w:lang w:val="en-AU"/>
        </w:rPr>
        <w:t xml:space="preserve"> which was not even set up until September 1958 by which time the process had been going for </w:t>
      </w:r>
      <w:r w:rsidR="00E125E4">
        <w:rPr>
          <w:lang w:val="en-AU"/>
        </w:rPr>
        <w:t xml:space="preserve">over two years. </w:t>
      </w:r>
      <w:r w:rsidR="008C542E">
        <w:rPr>
          <w:lang w:val="en-AU"/>
        </w:rPr>
        <w:t>A</w:t>
      </w:r>
      <w:r w:rsidR="00E125E4">
        <w:rPr>
          <w:lang w:val="en-AU"/>
        </w:rPr>
        <w:t xml:space="preserve">rticles </w:t>
      </w:r>
      <w:r w:rsidR="008C542E">
        <w:rPr>
          <w:lang w:val="en-AU"/>
        </w:rPr>
        <w:t xml:space="preserve">1 and 21 </w:t>
      </w:r>
      <w:r w:rsidR="005071CC">
        <w:rPr>
          <w:lang w:val="en-AU"/>
        </w:rPr>
        <w:t>did not appea</w:t>
      </w:r>
      <w:r w:rsidR="00054BE9">
        <w:rPr>
          <w:lang w:val="en-AU"/>
        </w:rPr>
        <w:t>r</w:t>
      </w:r>
      <w:r w:rsidR="005071CC">
        <w:rPr>
          <w:lang w:val="en-AU"/>
        </w:rPr>
        <w:t xml:space="preserve"> until the Third Report, and art 3 did not appear until the 1963 Draft.</w:t>
      </w:r>
      <w:r w:rsidR="00E5167D">
        <w:rPr>
          <w:lang w:val="en-AU"/>
        </w:rPr>
        <w:t xml:space="preserve"> One is left with unfortunate conclusion that the 1</w:t>
      </w:r>
      <w:r w:rsidR="00AB431D">
        <w:rPr>
          <w:lang w:val="en-AU"/>
        </w:rPr>
        <w:t>9</w:t>
      </w:r>
      <w:r w:rsidR="00E5167D">
        <w:rPr>
          <w:lang w:val="en-AU"/>
        </w:rPr>
        <w:t xml:space="preserve">63 Draft was a succession of separate articles drafted by different Working Parties </w:t>
      </w:r>
      <w:r w:rsidR="00C926FD">
        <w:rPr>
          <w:lang w:val="en-AU"/>
        </w:rPr>
        <w:t xml:space="preserve">without proper coordination </w:t>
      </w:r>
      <w:r w:rsidR="00E5167D">
        <w:rPr>
          <w:lang w:val="en-AU"/>
        </w:rPr>
        <w:t>in what could not be described as a plan.</w:t>
      </w:r>
    </w:p>
    <w:p w14:paraId="5729C29D" w14:textId="23B5DCD7" w:rsidR="00575229" w:rsidRDefault="00C7634C" w:rsidP="00C7634C">
      <w:pPr>
        <w:pStyle w:val="Heading3"/>
        <w:rPr>
          <w:lang w:val="en-AU"/>
        </w:rPr>
      </w:pPr>
      <w:r>
        <w:rPr>
          <w:lang w:val="en-AU"/>
        </w:rPr>
        <w:t xml:space="preserve">Changes made </w:t>
      </w:r>
      <w:r w:rsidR="00AA1E94">
        <w:rPr>
          <w:lang w:val="en-AU"/>
        </w:rPr>
        <w:t xml:space="preserve">after 1963 </w:t>
      </w:r>
      <w:r>
        <w:rPr>
          <w:lang w:val="en-AU"/>
        </w:rPr>
        <w:t>in preparation for the 1977 Model</w:t>
      </w:r>
    </w:p>
    <w:p w14:paraId="74F36642" w14:textId="6514A7EB" w:rsidR="002047C4" w:rsidRDefault="00E5167D" w:rsidP="00B078F1">
      <w:pPr>
        <w:pStyle w:val="BodyText"/>
      </w:pPr>
      <w:r>
        <w:rPr>
          <w:lang w:val="en-AU"/>
        </w:rPr>
        <w:t xml:space="preserve">In spite of </w:t>
      </w:r>
      <w:r w:rsidR="00C7634C">
        <w:rPr>
          <w:lang w:val="en-AU"/>
        </w:rPr>
        <w:t xml:space="preserve">the </w:t>
      </w:r>
      <w:r>
        <w:rPr>
          <w:lang w:val="en-AU"/>
        </w:rPr>
        <w:t xml:space="preserve">lack of a </w:t>
      </w:r>
      <w:r w:rsidR="00C7634C">
        <w:rPr>
          <w:lang w:val="en-AU"/>
        </w:rPr>
        <w:t>grand plan in the 1963 Draft there was an opportunity to address some of its weaknesses in the preparation for the 1977 Model</w:t>
      </w:r>
      <w:r w:rsidR="00226637">
        <w:rPr>
          <w:lang w:val="en-AU"/>
        </w:rPr>
        <w:t xml:space="preserve">, although of course there would have been a reluctance to make major changes given the number of existing </w:t>
      </w:r>
      <w:r w:rsidR="00226637">
        <w:rPr>
          <w:lang w:val="en-AU"/>
        </w:rPr>
        <w:lastRenderedPageBreak/>
        <w:t>treaties based on the 1963 Draft</w:t>
      </w:r>
      <w:r w:rsidR="00C7634C">
        <w:rPr>
          <w:lang w:val="en-AU"/>
        </w:rPr>
        <w:t>. There were two major changes that need to be considered to see whether these made more of a gran</w:t>
      </w:r>
      <w:r w:rsidR="006D20F9">
        <w:rPr>
          <w:lang w:val="en-AU"/>
        </w:rPr>
        <w:t>d</w:t>
      </w:r>
      <w:r w:rsidR="00C7634C">
        <w:rPr>
          <w:lang w:val="en-AU"/>
        </w:rPr>
        <w:t xml:space="preserve"> plan. </w:t>
      </w:r>
      <w:r w:rsidR="006D20F9">
        <w:rPr>
          <w:lang w:val="en-AU"/>
        </w:rPr>
        <w:t xml:space="preserve">The </w:t>
      </w:r>
      <w:r w:rsidR="00500677">
        <w:rPr>
          <w:lang w:val="en-AU"/>
        </w:rPr>
        <w:t>first</w:t>
      </w:r>
      <w:r w:rsidR="006D20F9">
        <w:rPr>
          <w:lang w:val="en-AU"/>
        </w:rPr>
        <w:t xml:space="preserve"> </w:t>
      </w:r>
      <w:r w:rsidR="00F24A0D">
        <w:rPr>
          <w:lang w:val="en-AU"/>
        </w:rPr>
        <w:t>of these</w:t>
      </w:r>
      <w:r w:rsidR="006D20F9">
        <w:rPr>
          <w:lang w:val="en-AU"/>
        </w:rPr>
        <w:t xml:space="preserve"> </w:t>
      </w:r>
      <w:r w:rsidR="00F24A0D">
        <w:rPr>
          <w:lang w:val="en-AU"/>
        </w:rPr>
        <w:t xml:space="preserve">was made in 1973 </w:t>
      </w:r>
      <w:r w:rsidR="006D20F9">
        <w:rPr>
          <w:lang w:val="en-AU"/>
        </w:rPr>
        <w:t xml:space="preserve">in preparation for the 1977 Model </w:t>
      </w:r>
      <w:r w:rsidR="00500677">
        <w:rPr>
          <w:lang w:val="en-AU"/>
        </w:rPr>
        <w:t xml:space="preserve">and </w:t>
      </w:r>
      <w:r w:rsidR="006D20F9">
        <w:rPr>
          <w:lang w:val="en-AU"/>
        </w:rPr>
        <w:t xml:space="preserve">concerned art 21 which in the 1963 Draft read: </w:t>
      </w:r>
      <w:r w:rsidR="00C259FA" w:rsidRPr="00C259FA">
        <w:t>‘</w:t>
      </w:r>
      <w:bookmarkStart w:id="15" w:name="_Hlk81920777"/>
      <w:r w:rsidR="00C259FA" w:rsidRPr="00C259FA">
        <w:t xml:space="preserve">Items of income </w:t>
      </w:r>
      <w:bookmarkStart w:id="16" w:name="_Hlk81928020"/>
      <w:r w:rsidR="00C259FA" w:rsidRPr="00C259FA">
        <w:t xml:space="preserve">of a resident of a Contracting State </w:t>
      </w:r>
      <w:bookmarkEnd w:id="16"/>
      <w:r w:rsidR="00C259FA" w:rsidRPr="00C259FA">
        <w:t xml:space="preserve">which are not expressly mentioned </w:t>
      </w:r>
      <w:bookmarkEnd w:id="15"/>
      <w:r w:rsidR="00C259FA" w:rsidRPr="00C259FA">
        <w:t>in the foregoing Articles of this Convention shall be taxable only in that State</w:t>
      </w:r>
      <w:r w:rsidR="00C259FA">
        <w:t>.</w:t>
      </w:r>
      <w:r w:rsidR="00C259FA" w:rsidRPr="00C259FA">
        <w:t>’</w:t>
      </w:r>
      <w:r w:rsidR="00C259FA">
        <w:t xml:space="preserve"> Again, if there was a grand plan this would be an important part of it as its effect would have been to prevent the loser state </w:t>
      </w:r>
      <w:r w:rsidR="00F24A0D">
        <w:t xml:space="preserve">under the dual residence tie-breaker, which would tax worldwide income of a domestic law resident, </w:t>
      </w:r>
      <w:r w:rsidR="00C259FA">
        <w:t>from taxing ‘i</w:t>
      </w:r>
      <w:r w:rsidR="00C259FA" w:rsidRPr="00C259FA">
        <w:t>tems of income</w:t>
      </w:r>
      <w:r w:rsidR="00C259FA">
        <w:t>’</w:t>
      </w:r>
      <w:r w:rsidR="00C259FA" w:rsidRPr="00C259FA">
        <w:t xml:space="preserve"> of a resident of a Contracting State which </w:t>
      </w:r>
      <w:r w:rsidR="00C259FA">
        <w:t>were</w:t>
      </w:r>
      <w:r w:rsidR="00C259FA" w:rsidRPr="00C259FA">
        <w:t xml:space="preserve"> not expressly mentione</w:t>
      </w:r>
      <w:r w:rsidR="00C259FA">
        <w:t xml:space="preserve">d. At the time this was understood to mean kinds of income, such as alimony, that had not been mentioned, and not, for example, income arising in a third state. </w:t>
      </w:r>
    </w:p>
    <w:p w14:paraId="0DE9C48C" w14:textId="56593558" w:rsidR="00C7634C" w:rsidRDefault="00C259FA" w:rsidP="002278FC">
      <w:pPr>
        <w:pStyle w:val="BodyText"/>
        <w:spacing w:before="120"/>
      </w:pPr>
      <w:r>
        <w:t xml:space="preserve">They thought this for historical reasons. When the League of Nations started work on a model treaty in the </w:t>
      </w:r>
      <w:proofErr w:type="spellStart"/>
      <w:r>
        <w:t>1920s</w:t>
      </w:r>
      <w:proofErr w:type="spellEnd"/>
      <w:r>
        <w:t xml:space="preserve"> most European states had </w:t>
      </w:r>
      <w:proofErr w:type="spellStart"/>
      <w:r w:rsidRPr="00C259FA">
        <w:rPr>
          <w:i/>
          <w:iCs/>
        </w:rPr>
        <w:t>impôts</w:t>
      </w:r>
      <w:proofErr w:type="spellEnd"/>
      <w:r w:rsidRPr="00C259FA">
        <w:rPr>
          <w:i/>
          <w:iCs/>
        </w:rPr>
        <w:t xml:space="preserve"> </w:t>
      </w:r>
      <w:proofErr w:type="spellStart"/>
      <w:r w:rsidRPr="00C259FA">
        <w:rPr>
          <w:i/>
          <w:iCs/>
        </w:rPr>
        <w:t>réels</w:t>
      </w:r>
      <w:proofErr w:type="spellEnd"/>
      <w:r w:rsidRPr="00C259FA">
        <w:rPr>
          <w:i/>
          <w:iCs/>
        </w:rPr>
        <w:t xml:space="preserve"> </w:t>
      </w:r>
      <w:r w:rsidRPr="00C259FA">
        <w:t>or source taxes</w:t>
      </w:r>
      <w:r>
        <w:t xml:space="preserve"> without any taxation on account of residence. The four economists spent most of their report on these taxes and only at the end did they turn to income taxes</w:t>
      </w:r>
      <w:r w:rsidR="002278FC">
        <w:t xml:space="preserve"> ‘as found in Great Britain, the United States and the German Empire.’</w:t>
      </w:r>
      <w:r w:rsidR="00AE5410">
        <w:rPr>
          <w:rStyle w:val="FootnoteReference"/>
        </w:rPr>
        <w:footnoteReference w:id="95"/>
      </w:r>
      <w:r w:rsidR="002278FC">
        <w:t xml:space="preserve"> Their proposal for different taxation of categories of income was based on </w:t>
      </w:r>
      <w:proofErr w:type="spellStart"/>
      <w:r w:rsidR="002278FC" w:rsidRPr="002278FC">
        <w:rPr>
          <w:i/>
          <w:iCs/>
        </w:rPr>
        <w:t>impôts</w:t>
      </w:r>
      <w:proofErr w:type="spellEnd"/>
      <w:r w:rsidR="002278FC" w:rsidRPr="002278FC">
        <w:rPr>
          <w:i/>
          <w:iCs/>
        </w:rPr>
        <w:t xml:space="preserve"> </w:t>
      </w:r>
      <w:r w:rsidR="002278FC">
        <w:rPr>
          <w:i/>
          <w:iCs/>
        </w:rPr>
        <w:t xml:space="preserve">reels </w:t>
      </w:r>
      <w:r w:rsidR="002278FC">
        <w:t>and they proposed that taxation should be in the residence state only for states that were in a position to adopt it, otherwise to have tax at source only on a limited class of income. Following their report</w:t>
      </w:r>
      <w:r w:rsidR="002047C4">
        <w:t xml:space="preserve"> officials from first a small number and then a larger number of countries constructed a model or rather by 1928 three models. One of these kept the economists’ distinction between </w:t>
      </w:r>
      <w:proofErr w:type="spellStart"/>
      <w:r w:rsidR="002047C4" w:rsidRPr="002047C4">
        <w:rPr>
          <w:i/>
          <w:iCs/>
        </w:rPr>
        <w:t>impôts</w:t>
      </w:r>
      <w:proofErr w:type="spellEnd"/>
      <w:r w:rsidR="002047C4" w:rsidRPr="002047C4">
        <w:rPr>
          <w:i/>
          <w:iCs/>
        </w:rPr>
        <w:t xml:space="preserve"> </w:t>
      </w:r>
      <w:bookmarkStart w:id="17" w:name="_Hlk82006452"/>
      <w:proofErr w:type="spellStart"/>
      <w:r w:rsidR="002047C4" w:rsidRPr="002047C4">
        <w:rPr>
          <w:i/>
          <w:iCs/>
        </w:rPr>
        <w:t>réels</w:t>
      </w:r>
      <w:proofErr w:type="spellEnd"/>
      <w:r w:rsidR="002047C4" w:rsidRPr="002047C4">
        <w:rPr>
          <w:i/>
          <w:iCs/>
        </w:rPr>
        <w:t xml:space="preserve"> </w:t>
      </w:r>
      <w:bookmarkEnd w:id="17"/>
      <w:r w:rsidR="002047C4">
        <w:t>and income taxes, and another treated them the same so that the various categories of income designed for the former also applied to the latter.</w:t>
      </w:r>
      <w:r w:rsidR="002047C4">
        <w:rPr>
          <w:rStyle w:val="FootnoteReference"/>
        </w:rPr>
        <w:footnoteReference w:id="96"/>
      </w:r>
      <w:r w:rsidR="002047C4">
        <w:t xml:space="preserve"> Unfortunately it was this one that became the basis of actual treaties, resulting in thought processes that were based on </w:t>
      </w:r>
      <w:proofErr w:type="spellStart"/>
      <w:r w:rsidR="002047C4" w:rsidRPr="002047C4">
        <w:rPr>
          <w:i/>
          <w:iCs/>
        </w:rPr>
        <w:t>impôts</w:t>
      </w:r>
      <w:proofErr w:type="spellEnd"/>
      <w:r w:rsidR="002047C4" w:rsidRPr="002047C4">
        <w:rPr>
          <w:i/>
          <w:iCs/>
        </w:rPr>
        <w:t xml:space="preserve"> </w:t>
      </w:r>
      <w:proofErr w:type="spellStart"/>
      <w:r w:rsidR="00962BD3" w:rsidRPr="00962BD3">
        <w:rPr>
          <w:i/>
          <w:iCs/>
        </w:rPr>
        <w:t>réels</w:t>
      </w:r>
      <w:proofErr w:type="spellEnd"/>
      <w:r w:rsidR="00962BD3" w:rsidRPr="00962BD3">
        <w:rPr>
          <w:i/>
          <w:iCs/>
        </w:rPr>
        <w:t xml:space="preserve"> </w:t>
      </w:r>
      <w:r w:rsidR="002047C4">
        <w:t>continuing to apply to treaties</w:t>
      </w:r>
      <w:r w:rsidR="00C926FD">
        <w:t xml:space="preserve"> when they applied to income taxes</w:t>
      </w:r>
      <w:r w:rsidR="002047C4">
        <w:t>. One of these was that the treaty regulated only income arising in one or other state and had no relevan</w:t>
      </w:r>
      <w:r w:rsidR="00972C68">
        <w:t>ce</w:t>
      </w:r>
      <w:r w:rsidR="002047C4">
        <w:t xml:space="preserve"> to third state income. This meant that they thought that </w:t>
      </w:r>
      <w:r w:rsidR="00A14CEF">
        <w:t xml:space="preserve">not only did </w:t>
      </w:r>
      <w:r w:rsidR="002047C4">
        <w:t>art 21 not relate to third state income</w:t>
      </w:r>
      <w:r w:rsidR="00A14CEF">
        <w:t xml:space="preserve"> but the tie-breaker did not resolve dual residence in relation to third state income either, thus leaving both treaty states free to tax it</w:t>
      </w:r>
      <w:r w:rsidR="002047C4">
        <w:t>.</w:t>
      </w:r>
      <w:r w:rsidR="00A14CEF">
        <w:t xml:space="preserve"> Those are extraordinary propositions for anyone to think in 1973</w:t>
      </w:r>
      <w:bookmarkStart w:id="18" w:name="_Ref85615397"/>
      <w:r w:rsidR="00962BD3">
        <w:rPr>
          <w:rStyle w:val="FootnoteReference"/>
        </w:rPr>
        <w:footnoteReference w:id="97"/>
      </w:r>
      <w:bookmarkEnd w:id="18"/>
      <w:r w:rsidR="00A14CEF">
        <w:t xml:space="preserve">—less than 50 years ago—but </w:t>
      </w:r>
      <w:r w:rsidR="00C926FD">
        <w:t xml:space="preserve">the new </w:t>
      </w:r>
      <w:r w:rsidR="00A14CEF">
        <w:t xml:space="preserve">Working Party 1 </w:t>
      </w:r>
      <w:r w:rsidR="00C926FD">
        <w:t>(</w:t>
      </w:r>
      <w:proofErr w:type="spellStart"/>
      <w:r w:rsidR="00C926FD">
        <w:t>WP1</w:t>
      </w:r>
      <w:proofErr w:type="spellEnd"/>
      <w:r w:rsidR="00C926FD">
        <w:t xml:space="preserve">) in charge of treaties </w:t>
      </w:r>
      <w:r w:rsidR="00181DFA">
        <w:t xml:space="preserve">(not to be confused with the </w:t>
      </w:r>
      <w:r w:rsidR="009E5304">
        <w:t>pre-1971</w:t>
      </w:r>
      <w:r w:rsidR="00181DFA">
        <w:t xml:space="preserve"> one that dealt with </w:t>
      </w:r>
      <w:r w:rsidR="0051088D">
        <w:t>PEs</w:t>
      </w:r>
      <w:r w:rsidR="009E5304">
        <w:t xml:space="preserve">) </w:t>
      </w:r>
      <w:r w:rsidR="00A14CEF">
        <w:t xml:space="preserve">on which all </w:t>
      </w:r>
      <w:r w:rsidR="00D16367">
        <w:t xml:space="preserve">20 </w:t>
      </w:r>
      <w:r w:rsidR="00A14CEF">
        <w:t xml:space="preserve">OECD member states were represented agreed </w:t>
      </w:r>
      <w:r w:rsidR="009C5199">
        <w:t>with them</w:t>
      </w:r>
      <w:r w:rsidR="00A14CEF">
        <w:t>.</w:t>
      </w:r>
      <w:r w:rsidR="00137320">
        <w:rPr>
          <w:rStyle w:val="FootnoteReference"/>
        </w:rPr>
        <w:footnoteReference w:id="98"/>
      </w:r>
      <w:r w:rsidR="005D32CC">
        <w:t xml:space="preserve"> The UK is not recorded as dissenting but it had previously changed </w:t>
      </w:r>
      <w:r w:rsidR="005D32CC" w:rsidRPr="005D32CC">
        <w:t xml:space="preserve">the equivalent of art 21 to include ‘income of a class or from sources not expressly mentioned’ </w:t>
      </w:r>
      <w:r w:rsidR="005D32CC">
        <w:t xml:space="preserve">in at least ten treaties </w:t>
      </w:r>
      <w:r w:rsidR="005D32CC" w:rsidRPr="005D32CC">
        <w:t>thus making it clear that</w:t>
      </w:r>
      <w:r w:rsidR="00E009C7">
        <w:t>,</w:t>
      </w:r>
      <w:r w:rsidR="005D32CC" w:rsidRPr="005D32CC">
        <w:t xml:space="preserve"> </w:t>
      </w:r>
      <w:r w:rsidR="00E009C7">
        <w:lastRenderedPageBreak/>
        <w:t xml:space="preserve">whatever was the interpretation of the 1963 Draft, they wanted </w:t>
      </w:r>
      <w:r w:rsidR="005D32CC" w:rsidRPr="005D32CC">
        <w:t xml:space="preserve">third country income </w:t>
      </w:r>
      <w:r w:rsidR="00E009C7">
        <w:t xml:space="preserve">to be </w:t>
      </w:r>
      <w:r w:rsidR="005D32CC" w:rsidRPr="005D32CC">
        <w:t>covered</w:t>
      </w:r>
      <w:r w:rsidR="00E009C7">
        <w:t xml:space="preserve"> by art 21</w:t>
      </w:r>
      <w:r w:rsidR="005D32CC" w:rsidRPr="005D32CC">
        <w:t>.</w:t>
      </w:r>
      <w:r w:rsidR="005D32CC">
        <w:rPr>
          <w:rStyle w:val="FootnoteReference"/>
        </w:rPr>
        <w:footnoteReference w:id="99"/>
      </w:r>
      <w:r w:rsidR="005D32CC">
        <w:t xml:space="preserve"> </w:t>
      </w:r>
      <w:r w:rsidR="00A14CEF">
        <w:t xml:space="preserve"> </w:t>
      </w:r>
    </w:p>
    <w:p w14:paraId="34ED06B2" w14:textId="37605C44" w:rsidR="00500677" w:rsidRPr="002047C4" w:rsidRDefault="00500677" w:rsidP="002278FC">
      <w:pPr>
        <w:pStyle w:val="BodyText"/>
        <w:spacing w:before="120"/>
        <w:rPr>
          <w:lang w:val="en-AU"/>
        </w:rPr>
      </w:pPr>
      <w:r>
        <w:t xml:space="preserve">It was now </w:t>
      </w:r>
      <w:r w:rsidR="00C1151F">
        <w:t xml:space="preserve">generally </w:t>
      </w:r>
      <w:r>
        <w:t xml:space="preserve">realised that this </w:t>
      </w:r>
      <w:r w:rsidR="00E009C7">
        <w:t>interpretation</w:t>
      </w:r>
      <w:r w:rsidR="0074079F">
        <w:t xml:space="preserve"> </w:t>
      </w:r>
      <w:r w:rsidR="00E110B0">
        <w:t xml:space="preserve">of the 1963 Draft </w:t>
      </w:r>
      <w:r>
        <w:t xml:space="preserve">was undesirable and art 21 was changed to </w:t>
      </w:r>
      <w:r w:rsidR="0074079F">
        <w:t xml:space="preserve">clarify </w:t>
      </w:r>
      <w:r>
        <w:t>that it applied to third country source income by adding the words ‘Items of income</w:t>
      </w:r>
      <w:r w:rsidRPr="00500677">
        <w:rPr>
          <w:szCs w:val="24"/>
        </w:rPr>
        <w:t xml:space="preserve"> </w:t>
      </w:r>
      <w:r w:rsidRPr="00500677">
        <w:t>of a resident of a Contracting State</w:t>
      </w:r>
      <w:r>
        <w:t xml:space="preserve">, </w:t>
      </w:r>
      <w:r w:rsidRPr="00500677">
        <w:rPr>
          <w:i/>
          <w:iCs/>
        </w:rPr>
        <w:t>wherever arising</w:t>
      </w:r>
      <w:r>
        <w:t>,</w:t>
      </w:r>
      <w:r w:rsidR="00E009C7">
        <w:t>…’.</w:t>
      </w:r>
      <w:r>
        <w:t xml:space="preserve"> It was now </w:t>
      </w:r>
      <w:r w:rsidRPr="00AE5410">
        <w:t>clear that</w:t>
      </w:r>
      <w:r w:rsidR="00AE5410">
        <w:t xml:space="preserve"> the tie-breaker was also applicable to such income.</w:t>
      </w:r>
      <w:r>
        <w:t xml:space="preserve"> </w:t>
      </w:r>
      <w:r w:rsidR="00E12E5C">
        <w:t>At the same time income… ‘not expressly mentioned’ w</w:t>
      </w:r>
      <w:r w:rsidR="009C5199">
        <w:t>as</w:t>
      </w:r>
      <w:r w:rsidR="00E12E5C">
        <w:t xml:space="preserve"> changed to ‘not expressly dealt with’ so that art 21 applied to sources </w:t>
      </w:r>
      <w:r w:rsidR="00E009C7">
        <w:t xml:space="preserve">of income </w:t>
      </w:r>
      <w:r w:rsidR="00E12E5C">
        <w:t xml:space="preserve">that </w:t>
      </w:r>
      <w:r w:rsidR="00E009C7">
        <w:t xml:space="preserve">were not within the territorial scope of </w:t>
      </w:r>
      <w:r w:rsidR="00E12E5C">
        <w:t>the other articles.</w:t>
      </w:r>
      <w:r w:rsidR="00321C3C">
        <w:rPr>
          <w:rStyle w:val="FootnoteReference"/>
        </w:rPr>
        <w:footnoteReference w:id="100"/>
      </w:r>
    </w:p>
    <w:p w14:paraId="751FE78A" w14:textId="13E61B89" w:rsidR="00B078F1" w:rsidRDefault="00B078F1" w:rsidP="00B078F1">
      <w:pPr>
        <w:pStyle w:val="BodyText"/>
      </w:pPr>
      <w:r>
        <w:rPr>
          <w:lang w:val="en-AU"/>
        </w:rPr>
        <w:t xml:space="preserve">The second major change, made in 1975, was to </w:t>
      </w:r>
      <w:r w:rsidR="00E12E5C">
        <w:rPr>
          <w:lang w:val="en-AU"/>
        </w:rPr>
        <w:t>change</w:t>
      </w:r>
      <w:r>
        <w:rPr>
          <w:lang w:val="en-AU"/>
        </w:rPr>
        <w:t xml:space="preserve"> several articles, particularly art 6 (immovable property),</w:t>
      </w:r>
      <w:bookmarkStart w:id="20" w:name="_Ref82005929"/>
      <w:r>
        <w:rPr>
          <w:rStyle w:val="FootnoteReference"/>
          <w:lang w:val="en-AU"/>
        </w:rPr>
        <w:footnoteReference w:id="101"/>
      </w:r>
      <w:bookmarkEnd w:id="20"/>
      <w:r>
        <w:rPr>
          <w:lang w:val="en-AU"/>
        </w:rPr>
        <w:t xml:space="preserve"> that </w:t>
      </w:r>
      <w:r w:rsidR="000336C3">
        <w:rPr>
          <w:lang w:val="en-AU"/>
        </w:rPr>
        <w:t xml:space="preserve">surprisingly </w:t>
      </w:r>
      <w:r w:rsidR="00E12E5C">
        <w:rPr>
          <w:lang w:val="en-AU"/>
        </w:rPr>
        <w:t xml:space="preserve">made no reference to </w:t>
      </w:r>
      <w:r>
        <w:rPr>
          <w:lang w:val="en-AU"/>
        </w:rPr>
        <w:t>a residence state</w:t>
      </w:r>
      <w:r w:rsidR="00611C31">
        <w:rPr>
          <w:lang w:val="en-AU"/>
        </w:rPr>
        <w:t>, although art 1 means that the person must be a resident of one or other state</w:t>
      </w:r>
      <w:r w:rsidR="0088177B">
        <w:rPr>
          <w:lang w:val="en-AU"/>
        </w:rPr>
        <w:t xml:space="preserve"> for the treaty to apply</w:t>
      </w:r>
      <w:r>
        <w:rPr>
          <w:lang w:val="en-AU"/>
        </w:rPr>
        <w:t>.</w:t>
      </w:r>
      <w:r w:rsidR="00E5167D">
        <w:rPr>
          <w:lang w:val="en-AU"/>
        </w:rPr>
        <w:t xml:space="preserve"> </w:t>
      </w:r>
      <w:r>
        <w:rPr>
          <w:lang w:val="en-AU"/>
        </w:rPr>
        <w:t xml:space="preserve">The problem </w:t>
      </w:r>
      <w:r w:rsidR="0088177B">
        <w:rPr>
          <w:lang w:val="en-AU"/>
        </w:rPr>
        <w:t xml:space="preserve">caused by not referring to a residence state </w:t>
      </w:r>
      <w:r>
        <w:rPr>
          <w:lang w:val="en-AU"/>
        </w:rPr>
        <w:t xml:space="preserve">was that </w:t>
      </w:r>
      <w:r w:rsidR="00F24A0D">
        <w:rPr>
          <w:lang w:val="en-AU"/>
        </w:rPr>
        <w:t xml:space="preserve">these articles </w:t>
      </w:r>
      <w:r w:rsidR="0088177B">
        <w:rPr>
          <w:lang w:val="en-AU"/>
        </w:rPr>
        <w:t xml:space="preserve">made no distinction </w:t>
      </w:r>
      <w:r>
        <w:rPr>
          <w:lang w:val="en-AU"/>
        </w:rPr>
        <w:t>between the treaty residence state after application of the dual residence tie-breaker and the other state, which might be the loser state of the tie-breaker which in domestic law still considered the taxpayer as a resident and potentially tax</w:t>
      </w:r>
      <w:r w:rsidR="008241E9">
        <w:rPr>
          <w:lang w:val="en-AU"/>
        </w:rPr>
        <w:t>able on</w:t>
      </w:r>
      <w:r>
        <w:rPr>
          <w:lang w:val="en-AU"/>
        </w:rPr>
        <w:t xml:space="preserve"> worldwide income. This is a prime candidate for the treaty </w:t>
      </w:r>
      <w:r w:rsidR="000336C3">
        <w:rPr>
          <w:lang w:val="en-AU"/>
        </w:rPr>
        <w:t xml:space="preserve">to </w:t>
      </w:r>
      <w:r>
        <w:rPr>
          <w:lang w:val="en-AU"/>
        </w:rPr>
        <w:t xml:space="preserve">prevent but which the 1963 </w:t>
      </w:r>
      <w:r w:rsidR="00C926FD">
        <w:rPr>
          <w:lang w:val="en-AU"/>
        </w:rPr>
        <w:t>Draft</w:t>
      </w:r>
      <w:r>
        <w:rPr>
          <w:lang w:val="en-AU"/>
        </w:rPr>
        <w:t xml:space="preserve"> did nothing about in those articles </w:t>
      </w:r>
      <w:r w:rsidR="000336C3">
        <w:rPr>
          <w:lang w:val="en-AU"/>
        </w:rPr>
        <w:t xml:space="preserve">that did not </w:t>
      </w:r>
      <w:r w:rsidR="00552272">
        <w:rPr>
          <w:lang w:val="en-AU"/>
        </w:rPr>
        <w:t>refer</w:t>
      </w:r>
      <w:r>
        <w:rPr>
          <w:lang w:val="en-AU"/>
        </w:rPr>
        <w:t xml:space="preserve"> to a residence state. This topic came within the ambit of Working Group (as Working Parties had become) 15 wh</w:t>
      </w:r>
      <w:r w:rsidR="00C926FD">
        <w:rPr>
          <w:lang w:val="en-AU"/>
        </w:rPr>
        <w:t>ich</w:t>
      </w:r>
      <w:r>
        <w:rPr>
          <w:lang w:val="en-AU"/>
        </w:rPr>
        <w:t xml:space="preserve"> looked at three </w:t>
      </w:r>
      <w:r w:rsidR="00E5167D">
        <w:rPr>
          <w:lang w:val="en-AU"/>
        </w:rPr>
        <w:t xml:space="preserve">possible </w:t>
      </w:r>
      <w:r>
        <w:rPr>
          <w:lang w:val="en-AU"/>
        </w:rPr>
        <w:t xml:space="preserve">solutions to the loser state problem. The first solution was to have a general statement in either arts 21 or </w:t>
      </w:r>
      <w:r w:rsidR="00F311B3">
        <w:rPr>
          <w:lang w:val="en-AU"/>
        </w:rPr>
        <w:t xml:space="preserve">23 </w:t>
      </w:r>
      <w:r>
        <w:rPr>
          <w:lang w:val="en-AU"/>
        </w:rPr>
        <w:t xml:space="preserve">that </w:t>
      </w:r>
      <w:r>
        <w:t>‘</w:t>
      </w:r>
      <w:r w:rsidRPr="00F66906">
        <w:t>income derived or capital owned by a resident of a Contracting State shall be exempt from tax in the other Contracting State, except where another Article of the Convention expressly provides for taxation of such capital or income in the State which is not the State of residence.</w:t>
      </w:r>
      <w:r>
        <w:t>’</w:t>
      </w:r>
      <w:bookmarkStart w:id="21" w:name="_Ref82007323"/>
      <w:r>
        <w:rPr>
          <w:rStyle w:val="FootnoteReference"/>
        </w:rPr>
        <w:footnoteReference w:id="102"/>
      </w:r>
      <w:bookmarkEnd w:id="21"/>
      <w:r>
        <w:t xml:space="preserve"> </w:t>
      </w:r>
      <w:r w:rsidR="000336C3">
        <w:t>T</w:t>
      </w:r>
      <w:r>
        <w:t xml:space="preserve">hat </w:t>
      </w:r>
      <w:r w:rsidR="000336C3">
        <w:t xml:space="preserve">this </w:t>
      </w:r>
      <w:r>
        <w:t xml:space="preserve">was not adopted was a lost opportunity which would have meant that the Model had some semblance of a grand plan. </w:t>
      </w:r>
      <w:r w:rsidR="00AE5410">
        <w:t>It would still</w:t>
      </w:r>
      <w:r w:rsidR="00C926FD">
        <w:t>,</w:t>
      </w:r>
      <w:r w:rsidR="00AE5410">
        <w:t xml:space="preserve"> </w:t>
      </w:r>
      <w:r w:rsidR="00C926FD">
        <w:t xml:space="preserve">however, </w:t>
      </w:r>
      <w:r w:rsidR="00AE5410">
        <w:t xml:space="preserve">have required that all treaty articles referred to </w:t>
      </w:r>
      <w:r w:rsidR="00E12E5C">
        <w:t xml:space="preserve">a </w:t>
      </w:r>
      <w:r w:rsidR="00AE5410">
        <w:t>residence</w:t>
      </w:r>
      <w:r w:rsidR="00E12E5C">
        <w:t xml:space="preserve"> state</w:t>
      </w:r>
      <w:r w:rsidR="00AE5410">
        <w:t>.</w:t>
      </w:r>
      <w:r w:rsidR="00AE5410">
        <w:rPr>
          <w:rStyle w:val="FootnoteReference"/>
        </w:rPr>
        <w:footnoteReference w:id="103"/>
      </w:r>
    </w:p>
    <w:p w14:paraId="261AEAB5" w14:textId="77777777" w:rsidR="00AA1E94" w:rsidRDefault="00B078F1" w:rsidP="00B078F1">
      <w:pPr>
        <w:pStyle w:val="BodyText"/>
        <w:rPr>
          <w:lang w:val="en-AU"/>
        </w:rPr>
      </w:pPr>
      <w:r>
        <w:t>The second solution was to make</w:t>
      </w:r>
      <w:r>
        <w:rPr>
          <w:lang w:val="en-AU"/>
        </w:rPr>
        <w:t xml:space="preserve"> the tie-breaker apply for domestic law as well as the treaty. This was opposed by the UK, Canada and Germany on the basis that it would deprive the taxpayer of benefits accorded to a domestic law resident, and accordingly was not adopted. Amusingly both the UK (but only for companies) and Canada later introduced this solution into their domestic law. It might be said that it was an unusual </w:t>
      </w:r>
      <w:r>
        <w:rPr>
          <w:lang w:val="en-AU"/>
        </w:rPr>
        <w:lastRenderedPageBreak/>
        <w:t xml:space="preserve">solution because the OECD does not tell states what they can tax but accepts this as the starting point for the Model making reliefs. </w:t>
      </w:r>
    </w:p>
    <w:p w14:paraId="64028D58" w14:textId="6C1405DC" w:rsidR="00B078F1" w:rsidRDefault="00B078F1" w:rsidP="00B078F1">
      <w:pPr>
        <w:pStyle w:val="BodyText"/>
        <w:rPr>
          <w:lang w:val="en-AU"/>
        </w:rPr>
      </w:pPr>
      <w:r>
        <w:rPr>
          <w:lang w:val="en-AU"/>
        </w:rPr>
        <w:t xml:space="preserve">The third solution, which was the one adopted (and which would still have been required if the first solution had been adopted), </w:t>
      </w:r>
      <w:r w:rsidR="00AA1E94">
        <w:rPr>
          <w:lang w:val="en-AU"/>
        </w:rPr>
        <w:t>added a</w:t>
      </w:r>
      <w:r>
        <w:rPr>
          <w:lang w:val="en-AU"/>
        </w:rPr>
        <w:t xml:space="preserve"> reference to a residence state </w:t>
      </w:r>
      <w:r w:rsidR="008241E9">
        <w:rPr>
          <w:lang w:val="en-AU"/>
        </w:rPr>
        <w:t xml:space="preserve">and permitted taxation in the other state </w:t>
      </w:r>
      <w:r>
        <w:rPr>
          <w:lang w:val="en-AU"/>
        </w:rPr>
        <w:t>to the articles concerned.</w:t>
      </w:r>
      <w:r w:rsidR="00AE5410">
        <w:rPr>
          <w:rStyle w:val="FootnoteReference"/>
          <w:lang w:val="en-AU"/>
        </w:rPr>
        <w:footnoteReference w:id="104"/>
      </w:r>
      <w:r>
        <w:rPr>
          <w:lang w:val="en-AU"/>
        </w:rPr>
        <w:t xml:space="preserve"> Thus art 6 was changed as follows:</w:t>
      </w:r>
    </w:p>
    <w:tbl>
      <w:tblPr>
        <w:tblStyle w:val="TableGrid"/>
        <w:tblW w:w="0" w:type="auto"/>
        <w:tblLook w:val="04A0" w:firstRow="1" w:lastRow="0" w:firstColumn="1" w:lastColumn="0" w:noHBand="0" w:noVBand="1"/>
      </w:tblPr>
      <w:tblGrid>
        <w:gridCol w:w="4148"/>
        <w:gridCol w:w="4149"/>
      </w:tblGrid>
      <w:tr w:rsidR="00B078F1" w:rsidRPr="00236805" w14:paraId="1A7BB3BB" w14:textId="77777777" w:rsidTr="00AF0E0D">
        <w:tc>
          <w:tcPr>
            <w:tcW w:w="4148" w:type="dxa"/>
          </w:tcPr>
          <w:p w14:paraId="50F55EAE" w14:textId="06C07ABE" w:rsidR="00B078F1" w:rsidRPr="00236805" w:rsidRDefault="00B078F1" w:rsidP="00AF0E0D">
            <w:pPr>
              <w:jc w:val="center"/>
              <w:rPr>
                <w:sz w:val="20"/>
                <w:szCs w:val="20"/>
              </w:rPr>
            </w:pPr>
            <w:r w:rsidRPr="00236805">
              <w:rPr>
                <w:sz w:val="20"/>
                <w:szCs w:val="20"/>
              </w:rPr>
              <w:t>1963 Draft</w:t>
            </w:r>
          </w:p>
        </w:tc>
        <w:tc>
          <w:tcPr>
            <w:tcW w:w="4149" w:type="dxa"/>
          </w:tcPr>
          <w:p w14:paraId="703E20C2" w14:textId="77777777" w:rsidR="00B078F1" w:rsidRPr="00236805" w:rsidRDefault="00B078F1" w:rsidP="00AF0E0D">
            <w:pPr>
              <w:jc w:val="center"/>
              <w:rPr>
                <w:sz w:val="20"/>
                <w:szCs w:val="20"/>
              </w:rPr>
            </w:pPr>
            <w:r>
              <w:rPr>
                <w:sz w:val="20"/>
                <w:szCs w:val="20"/>
              </w:rPr>
              <w:t>1977 Model</w:t>
            </w:r>
          </w:p>
        </w:tc>
      </w:tr>
      <w:tr w:rsidR="00B078F1" w:rsidRPr="00236805" w14:paraId="080C75BB" w14:textId="77777777" w:rsidTr="00AF0E0D">
        <w:tc>
          <w:tcPr>
            <w:tcW w:w="4148" w:type="dxa"/>
          </w:tcPr>
          <w:p w14:paraId="16AACD26" w14:textId="77777777" w:rsidR="00B078F1" w:rsidRPr="00236805" w:rsidRDefault="00B078F1" w:rsidP="00AF0E0D">
            <w:pPr>
              <w:rPr>
                <w:sz w:val="20"/>
                <w:szCs w:val="20"/>
              </w:rPr>
            </w:pPr>
            <w:r w:rsidRPr="00236805">
              <w:rPr>
                <w:sz w:val="20"/>
                <w:szCs w:val="20"/>
              </w:rPr>
              <w:t>6(1). Income from immovable property may be taxed in the Contracting State in which such property is situated.</w:t>
            </w:r>
          </w:p>
        </w:tc>
        <w:tc>
          <w:tcPr>
            <w:tcW w:w="4149" w:type="dxa"/>
          </w:tcPr>
          <w:p w14:paraId="318CF7D5" w14:textId="77777777" w:rsidR="00B078F1" w:rsidRPr="00236805" w:rsidRDefault="00B078F1" w:rsidP="00AF0E0D">
            <w:pPr>
              <w:rPr>
                <w:sz w:val="20"/>
                <w:szCs w:val="20"/>
              </w:rPr>
            </w:pPr>
            <w:r w:rsidRPr="00236805">
              <w:rPr>
                <w:sz w:val="20"/>
                <w:szCs w:val="20"/>
              </w:rPr>
              <w:t xml:space="preserve">6(1). Income derived by a resident of a Contracting State from immovable property </w:t>
            </w:r>
            <w:r w:rsidRPr="00D21E4F">
              <w:rPr>
                <w:sz w:val="20"/>
                <w:szCs w:val="20"/>
              </w:rPr>
              <w:t xml:space="preserve">(including income from agriculture or forestry) </w:t>
            </w:r>
            <w:r w:rsidRPr="00236805">
              <w:rPr>
                <w:sz w:val="20"/>
                <w:szCs w:val="20"/>
              </w:rPr>
              <w:t>situated in the other Contracting State may be taxed in that other State.</w:t>
            </w:r>
          </w:p>
        </w:tc>
      </w:tr>
    </w:tbl>
    <w:p w14:paraId="13CE36B8" w14:textId="48FF42BD" w:rsidR="00B078F1" w:rsidRDefault="00B078F1" w:rsidP="00AA1E94">
      <w:pPr>
        <w:pStyle w:val="BodyText"/>
        <w:spacing w:before="120"/>
        <w:rPr>
          <w:lang w:val="en-AU"/>
        </w:rPr>
      </w:pPr>
      <w:r>
        <w:rPr>
          <w:lang w:val="en-AU"/>
        </w:rPr>
        <w:t>Taken together the two major changes meant that there was no doubt that art 21 dealt with immovable property situated in the residence state or a third state. It was no longer necessary to say, as many other articles did, that income of a particular type ‘shall be taxable only’ in the residence state unless a condition was satisfied, such as</w:t>
      </w:r>
      <w:r w:rsidR="000336C3">
        <w:rPr>
          <w:lang w:val="en-AU"/>
        </w:rPr>
        <w:t>,</w:t>
      </w:r>
      <w:r>
        <w:rPr>
          <w:lang w:val="en-AU"/>
        </w:rPr>
        <w:t xml:space="preserve"> in relation to profits of an enterprise</w:t>
      </w:r>
      <w:r w:rsidR="000336C3">
        <w:rPr>
          <w:lang w:val="en-AU"/>
        </w:rPr>
        <w:t>,</w:t>
      </w:r>
      <w:r>
        <w:rPr>
          <w:lang w:val="en-AU"/>
        </w:rPr>
        <w:t xml:space="preserve"> there was a </w:t>
      </w:r>
      <w:r w:rsidR="0051088D">
        <w:rPr>
          <w:lang w:val="en-AU"/>
        </w:rPr>
        <w:t>PE</w:t>
      </w:r>
      <w:r>
        <w:rPr>
          <w:lang w:val="en-AU"/>
        </w:rPr>
        <w:t xml:space="preserve"> in the other state. </w:t>
      </w:r>
      <w:r w:rsidR="00AA1E94">
        <w:rPr>
          <w:lang w:val="en-AU"/>
        </w:rPr>
        <w:t xml:space="preserve">It was now clear </w:t>
      </w:r>
      <w:r w:rsidR="00E12E5C">
        <w:rPr>
          <w:lang w:val="en-AU"/>
        </w:rPr>
        <w:t xml:space="preserve">after </w:t>
      </w:r>
      <w:r w:rsidR="00AA1E94">
        <w:rPr>
          <w:lang w:val="en-AU"/>
        </w:rPr>
        <w:t xml:space="preserve">art 21 </w:t>
      </w:r>
      <w:r w:rsidR="00E12E5C">
        <w:rPr>
          <w:lang w:val="en-AU"/>
        </w:rPr>
        <w:t>applied to income ‘wherever arising</w:t>
      </w:r>
      <w:r w:rsidR="00666572">
        <w:rPr>
          <w:lang w:val="en-AU"/>
        </w:rPr>
        <w:t>,</w:t>
      </w:r>
      <w:r w:rsidR="00E12E5C">
        <w:rPr>
          <w:lang w:val="en-AU"/>
        </w:rPr>
        <w:t xml:space="preserve">’ </w:t>
      </w:r>
      <w:r w:rsidR="00AA1E94">
        <w:rPr>
          <w:lang w:val="en-AU"/>
        </w:rPr>
        <w:t xml:space="preserve">that income from </w:t>
      </w:r>
      <w:r>
        <w:rPr>
          <w:lang w:val="en-AU"/>
        </w:rPr>
        <w:t xml:space="preserve">immovable property situated in the residence state or a third state </w:t>
      </w:r>
      <w:r w:rsidRPr="00B078F1">
        <w:rPr>
          <w:lang w:val="en-AU"/>
        </w:rPr>
        <w:t>‘shall be taxable only’</w:t>
      </w:r>
      <w:r>
        <w:rPr>
          <w:lang w:val="en-AU"/>
        </w:rPr>
        <w:t xml:space="preserve"> in the residence state</w:t>
      </w:r>
      <w:r w:rsidR="00666572">
        <w:rPr>
          <w:lang w:val="en-AU"/>
        </w:rPr>
        <w:t xml:space="preserve"> by virtue of art 21 rather than art 6</w:t>
      </w:r>
      <w:r>
        <w:rPr>
          <w:lang w:val="en-AU"/>
        </w:rPr>
        <w:t>.</w:t>
      </w:r>
      <w:r w:rsidR="00941946">
        <w:rPr>
          <w:rStyle w:val="FootnoteReference"/>
          <w:lang w:val="en-AU"/>
        </w:rPr>
        <w:footnoteReference w:id="105"/>
      </w:r>
      <w:r w:rsidR="00666572">
        <w:rPr>
          <w:lang w:val="en-AU"/>
        </w:rPr>
        <w:t xml:space="preserve"> The changes were an improvement</w:t>
      </w:r>
      <w:r w:rsidR="0001341A">
        <w:rPr>
          <w:lang w:val="en-AU"/>
        </w:rPr>
        <w:t xml:space="preserve"> by correcting odd features that had </w:t>
      </w:r>
      <w:r w:rsidR="000336C3">
        <w:rPr>
          <w:lang w:val="en-AU"/>
        </w:rPr>
        <w:t xml:space="preserve">surprisingly </w:t>
      </w:r>
      <w:r w:rsidR="0001341A">
        <w:rPr>
          <w:lang w:val="en-AU"/>
        </w:rPr>
        <w:t>survived in the 1963 Draft rather than major changes to the whole structure.</w:t>
      </w:r>
    </w:p>
    <w:p w14:paraId="757D28B8" w14:textId="65AEFA7B" w:rsidR="00525E4B" w:rsidRDefault="000F7791" w:rsidP="00AA1E94">
      <w:pPr>
        <w:pStyle w:val="BodyText"/>
        <w:spacing w:before="120"/>
        <w:rPr>
          <w:lang w:val="en-AU"/>
        </w:rPr>
      </w:pPr>
      <w:bookmarkStart w:id="22" w:name="_Hlk106607384"/>
      <w:r>
        <w:rPr>
          <w:lang w:val="en-AU"/>
        </w:rPr>
        <w:t xml:space="preserve">One </w:t>
      </w:r>
      <w:r w:rsidR="00F62BC3">
        <w:rPr>
          <w:lang w:val="en-AU"/>
        </w:rPr>
        <w:t xml:space="preserve">ostensibly </w:t>
      </w:r>
      <w:r>
        <w:rPr>
          <w:lang w:val="en-AU"/>
        </w:rPr>
        <w:t>more minor change</w:t>
      </w:r>
      <w:r w:rsidR="009C2D81">
        <w:rPr>
          <w:lang w:val="en-AU"/>
        </w:rPr>
        <w:t>, which turned out to have some importance,</w:t>
      </w:r>
      <w:r>
        <w:rPr>
          <w:lang w:val="en-AU"/>
        </w:rPr>
        <w:t xml:space="preserve"> should be mentioned. In the 1963 Draft both the dividend and interest articles included a reference to domestic law following a general definition. In </w:t>
      </w:r>
      <w:r w:rsidR="00F62BC3">
        <w:rPr>
          <w:lang w:val="en-AU"/>
        </w:rPr>
        <w:t>1971</w:t>
      </w:r>
      <w:r>
        <w:rPr>
          <w:lang w:val="en-AU"/>
        </w:rPr>
        <w:t xml:space="preserve"> the reference to domestic law was removed from the interest article only</w:t>
      </w:r>
      <w:r w:rsidR="0026431A">
        <w:rPr>
          <w:lang w:val="en-AU"/>
        </w:rPr>
        <w:t>.</w:t>
      </w:r>
      <w:r w:rsidR="009C2D81">
        <w:rPr>
          <w:rStyle w:val="FootnoteReference"/>
          <w:lang w:val="en-AU"/>
        </w:rPr>
        <w:footnoteReference w:id="106"/>
      </w:r>
      <w:r w:rsidR="00F62BC3">
        <w:rPr>
          <w:lang w:val="en-AU"/>
        </w:rPr>
        <w:t xml:space="preserve"> </w:t>
      </w:r>
      <w:r w:rsidR="0026431A">
        <w:rPr>
          <w:lang w:val="en-AU"/>
        </w:rPr>
        <w:t xml:space="preserve">The combination of a general definition plus domestic law for dividends and a general definition for interest </w:t>
      </w:r>
      <w:r w:rsidR="00F11626">
        <w:rPr>
          <w:lang w:val="en-AU"/>
        </w:rPr>
        <w:t xml:space="preserve">may have </w:t>
      </w:r>
      <w:r w:rsidR="0026431A">
        <w:rPr>
          <w:lang w:val="en-AU"/>
        </w:rPr>
        <w:t>made matters worse. What is really needed is a priority rule</w:t>
      </w:r>
      <w:r w:rsidR="00F30F53">
        <w:rPr>
          <w:lang w:val="en-AU"/>
        </w:rPr>
        <w:t xml:space="preserve"> which </w:t>
      </w:r>
      <w:r w:rsidR="004B6B8D">
        <w:rPr>
          <w:lang w:val="en-AU"/>
        </w:rPr>
        <w:t>several countries now do</w:t>
      </w:r>
      <w:r w:rsidR="00F30F53">
        <w:rPr>
          <w:lang w:val="en-AU"/>
        </w:rPr>
        <w:t>,</w:t>
      </w:r>
      <w:r w:rsidR="0026431A">
        <w:rPr>
          <w:lang w:val="en-AU"/>
        </w:rPr>
        <w:t xml:space="preserve"> because otherwise it is possible for both articles to apply.</w:t>
      </w:r>
      <w:r w:rsidR="00705313">
        <w:rPr>
          <w:rStyle w:val="FootnoteReference"/>
          <w:lang w:val="en-AU"/>
        </w:rPr>
        <w:footnoteReference w:id="107"/>
      </w:r>
      <w:r w:rsidR="0026431A">
        <w:rPr>
          <w:lang w:val="en-AU"/>
        </w:rPr>
        <w:t xml:space="preserve"> </w:t>
      </w:r>
      <w:r w:rsidR="00705313">
        <w:rPr>
          <w:lang w:val="en-AU"/>
        </w:rPr>
        <w:t xml:space="preserve"> </w:t>
      </w:r>
      <w:bookmarkEnd w:id="22"/>
    </w:p>
    <w:p w14:paraId="3FA12AD7" w14:textId="683337E2" w:rsidR="00032E0E" w:rsidRDefault="00032E0E" w:rsidP="00032E0E">
      <w:pPr>
        <w:pStyle w:val="Heading3"/>
        <w:rPr>
          <w:lang w:val="en-AU"/>
        </w:rPr>
      </w:pPr>
      <w:r>
        <w:rPr>
          <w:lang w:val="en-AU"/>
        </w:rPr>
        <w:lastRenderedPageBreak/>
        <w:t>A better framework</w:t>
      </w:r>
    </w:p>
    <w:p w14:paraId="0FF3C11B" w14:textId="78B0836A" w:rsidR="00032E0E" w:rsidRPr="00032E0E" w:rsidRDefault="00032E0E" w:rsidP="00032E0E">
      <w:pPr>
        <w:pStyle w:val="BodyText"/>
        <w:rPr>
          <w:lang w:val="en-AU"/>
        </w:rPr>
      </w:pPr>
      <w:r>
        <w:rPr>
          <w:lang w:val="en-AU"/>
        </w:rPr>
        <w:t>The 1977 Model was an improvement on the 1963 Draft so far as having more consistency but it still consisted of a number of independently written articles without much cohesion. We turn to consider what would be a better framework.</w:t>
      </w:r>
    </w:p>
    <w:p w14:paraId="19DA1BFA" w14:textId="603BF20F" w:rsidR="00083802" w:rsidRDefault="00083802" w:rsidP="00083802">
      <w:pPr>
        <w:pStyle w:val="BodyText"/>
      </w:pPr>
      <w:r>
        <w:t>In setting a framework there are two overriding points to bear in mind; first, that (in general</w:t>
      </w:r>
      <w:r>
        <w:rPr>
          <w:rStyle w:val="FootnoteReference"/>
        </w:rPr>
        <w:footnoteReference w:id="108"/>
      </w:r>
      <w:r>
        <w:t xml:space="preserve">) treaties relieve from tax and so unless a provision relieves from tax it does not need saying. And secondly, both credit and exemption states exist and think differently; exemption states would like treaty articles to allocate income to one or other state, making the double taxation relief article of lesser importance, while tax credit states expect both states </w:t>
      </w:r>
      <w:r w:rsidR="008431AF">
        <w:t xml:space="preserve">in many cases </w:t>
      </w:r>
      <w:r>
        <w:t>potentially to tax and the relief article to provide for the relief. With th</w:t>
      </w:r>
      <w:r w:rsidR="008431AF">
        <w:t>ose</w:t>
      </w:r>
      <w:r>
        <w:t xml:space="preserve"> in mind there could be two general rules which would </w:t>
      </w:r>
      <w:r w:rsidR="00811E09">
        <w:t xml:space="preserve">then </w:t>
      </w:r>
      <w:r>
        <w:t>be subject to exceptions: Rule (1) having established a single treaty residence state</w:t>
      </w:r>
      <w:r w:rsidR="00811E09">
        <w:t>,</w:t>
      </w:r>
      <w:r>
        <w:t xml:space="preserve"> R</w:t>
      </w:r>
      <w:r w:rsidR="00811E09">
        <w:t>,</w:t>
      </w:r>
      <w:r>
        <w:t xml:space="preserve"> after application of the tie-breaker</w:t>
      </w:r>
      <w:r w:rsidR="00032E0E">
        <w:t xml:space="preserve"> if necessary</w:t>
      </w:r>
      <w:r>
        <w:t>, everything is taxable in R</w:t>
      </w:r>
      <w:r w:rsidR="00713AF8">
        <w:rPr>
          <w:rStyle w:val="FootnoteReference"/>
        </w:rPr>
        <w:footnoteReference w:id="109"/>
      </w:r>
      <w:r>
        <w:t>; and Rule (2) nothing is taxable in the other state</w:t>
      </w:r>
      <w:r w:rsidR="00811E09">
        <w:t>,</w:t>
      </w:r>
      <w:r>
        <w:t xml:space="preserve"> OS. </w:t>
      </w:r>
      <w:r w:rsidR="003A708F">
        <w:t>Interestingly both</w:t>
      </w:r>
      <w:r w:rsidR="00E20EEA">
        <w:t xml:space="preserve"> rules had </w:t>
      </w:r>
      <w:r w:rsidR="004712AA">
        <w:t xml:space="preserve">previously </w:t>
      </w:r>
      <w:r w:rsidR="00E20EEA">
        <w:t xml:space="preserve">been considered separately </w:t>
      </w:r>
      <w:r w:rsidR="003A708F">
        <w:t>on</w:t>
      </w:r>
      <w:r w:rsidR="00414060">
        <w:t xml:space="preserve"> different </w:t>
      </w:r>
      <w:r w:rsidR="003A708F">
        <w:t>occasions</w:t>
      </w:r>
      <w:r w:rsidR="00414060">
        <w:t xml:space="preserve"> </w:t>
      </w:r>
      <w:r w:rsidR="00E20EEA">
        <w:t xml:space="preserve">and </w:t>
      </w:r>
      <w:r w:rsidR="004712AA">
        <w:t xml:space="preserve">both had been </w:t>
      </w:r>
      <w:r w:rsidR="00E20EEA">
        <w:t>rejected.</w:t>
      </w:r>
      <w:r w:rsidR="00E20EEA">
        <w:rPr>
          <w:rStyle w:val="FootnoteReference"/>
        </w:rPr>
        <w:footnoteReference w:id="110"/>
      </w:r>
      <w:r w:rsidR="00E20EEA">
        <w:t xml:space="preserve"> </w:t>
      </w:r>
      <w:r>
        <w:t xml:space="preserve">The main exception to </w:t>
      </w:r>
      <w:r w:rsidR="00E20EEA">
        <w:t xml:space="preserve">Rule </w:t>
      </w:r>
      <w:r>
        <w:t>(1) is that R gives double taxation relief but there are other exceptions in arts 19 and 20. Relief needs to be provided in a separate article to suit credit states, and even exemption states are better off if they rely on a relief article (necessarily drafted differently from the one for credit states) rather than try to provide in all the other articles that one or other state can tax because matters such as exemption with progression cannot be dealt with by separate articles.</w:t>
      </w:r>
    </w:p>
    <w:p w14:paraId="5F700103" w14:textId="194802BE" w:rsidR="00083802" w:rsidRDefault="00083802" w:rsidP="00083802">
      <w:pPr>
        <w:pStyle w:val="BodyText"/>
      </w:pPr>
      <w:r>
        <w:t xml:space="preserve">Rule (2) is probably the most fundamental </w:t>
      </w:r>
      <w:r w:rsidR="003A708F">
        <w:t xml:space="preserve">rule </w:t>
      </w:r>
      <w:r>
        <w:t xml:space="preserve">because </w:t>
      </w:r>
      <w:r w:rsidR="00686A79">
        <w:t xml:space="preserve">after application of the dual residence tie-breaker in art 4 to </w:t>
      </w:r>
      <w:r>
        <w:t>establish R, the loser state</w:t>
      </w:r>
      <w:r w:rsidR="00686A79">
        <w:t>,</w:t>
      </w:r>
      <w:r>
        <w:t xml:space="preserve"> OS</w:t>
      </w:r>
      <w:r w:rsidR="00686A79">
        <w:t>,</w:t>
      </w:r>
      <w:r>
        <w:t xml:space="preserve"> will still potentially tax worldwide income, which must be a prime consideration for the treaty to </w:t>
      </w:r>
      <w:r w:rsidR="00686A79">
        <w:t>prevent</w:t>
      </w:r>
      <w:r>
        <w:t>. Rule (2) stops such taxation before we have even looked at the separate articles</w:t>
      </w:r>
      <w:r w:rsidR="00686A79">
        <w:t>,</w:t>
      </w:r>
      <w:r>
        <w:t xml:space="preserve"> unlike art 21 which applies only where other articles do not. That article was not published until the Third (1960) </w:t>
      </w:r>
      <w:proofErr w:type="spellStart"/>
      <w:r>
        <w:t>OEEC</w:t>
      </w:r>
      <w:proofErr w:type="spellEnd"/>
      <w:r>
        <w:t xml:space="preserve"> Report. </w:t>
      </w:r>
      <w:r w:rsidR="00686A79">
        <w:t>Once rule (2) has</w:t>
      </w:r>
      <w:r>
        <w:t xml:space="preserve"> established a prohibition on taxation in OS a natural way of providing an exception would be to say that something ‘may be taxed’ in OS, there being no need to say anything if it may not be taxed in OS because that is covered by the general rule. It would also not be natural to say that something ‘shall be taxable only in R’ because one has to turn it on its head to see that the real meaning (because treaties relieve from tax) is that the income may not be taxed in OS, which is what Rule (2) says. </w:t>
      </w:r>
      <w:r w:rsidR="00552272">
        <w:t xml:space="preserve">Many early tax treaties </w:t>
      </w:r>
      <w:r w:rsidR="006049F1">
        <w:t xml:space="preserve">in the </w:t>
      </w:r>
      <w:proofErr w:type="spellStart"/>
      <w:r w:rsidR="006049F1">
        <w:t>1920s</w:t>
      </w:r>
      <w:proofErr w:type="spellEnd"/>
      <w:r w:rsidR="006049F1">
        <w:t xml:space="preserve"> and </w:t>
      </w:r>
      <w:proofErr w:type="spellStart"/>
      <w:r w:rsidR="006049F1">
        <w:t>1930s</w:t>
      </w:r>
      <w:proofErr w:type="spellEnd"/>
      <w:r w:rsidR="006049F1">
        <w:t xml:space="preserve"> </w:t>
      </w:r>
      <w:r w:rsidR="00552272">
        <w:t>had the equivalent of Rule (2)</w:t>
      </w:r>
      <w:r w:rsidR="006049F1">
        <w:t xml:space="preserve"> as the first provision in the treaty.</w:t>
      </w:r>
      <w:r w:rsidR="006049F1">
        <w:rPr>
          <w:rStyle w:val="FootnoteReference"/>
        </w:rPr>
        <w:footnoteReference w:id="111"/>
      </w:r>
      <w:r w:rsidR="00552272">
        <w:t xml:space="preserve"> </w:t>
      </w:r>
      <w:r w:rsidR="00BA06AA">
        <w:t xml:space="preserve">Theoretically </w:t>
      </w:r>
      <w:r w:rsidR="007C05AC">
        <w:t xml:space="preserve">the result </w:t>
      </w:r>
      <w:r w:rsidR="007C05AC">
        <w:lastRenderedPageBreak/>
        <w:t xml:space="preserve">should be the same </w:t>
      </w:r>
      <w:r w:rsidR="00BA06AA">
        <w:t xml:space="preserve">whether there is a general rule followed by exceptions or whether there are a series of </w:t>
      </w:r>
      <w:r w:rsidR="007C05AC">
        <w:t>rules</w:t>
      </w:r>
      <w:r w:rsidR="00BA06AA">
        <w:t xml:space="preserve"> followed by a residuary rule</w:t>
      </w:r>
      <w:r w:rsidR="00BA06AA" w:rsidRPr="00BA06AA">
        <w:t xml:space="preserve"> </w:t>
      </w:r>
      <w:r w:rsidR="00BA06AA">
        <w:t xml:space="preserve">(art 21), but </w:t>
      </w:r>
      <w:r w:rsidR="007C05AC">
        <w:t>neither deals with an overlap between the provisions.</w:t>
      </w:r>
    </w:p>
    <w:p w14:paraId="7A9DE5F9" w14:textId="4FCF5338" w:rsidR="009C604D" w:rsidRDefault="009C604D" w:rsidP="00083802">
      <w:pPr>
        <w:pStyle w:val="BodyText"/>
      </w:pPr>
    </w:p>
    <w:p w14:paraId="59B53FD8" w14:textId="14A421F7" w:rsidR="00F2768F" w:rsidRDefault="00F2768F" w:rsidP="00F2768F">
      <w:pPr>
        <w:pStyle w:val="Heading3"/>
      </w:pPr>
      <w:r>
        <w:t>Conclusion</w:t>
      </w:r>
    </w:p>
    <w:p w14:paraId="1EAAD01C" w14:textId="348888AB" w:rsidR="008C5E25" w:rsidRDefault="00F2768F" w:rsidP="00F2768F">
      <w:pPr>
        <w:pStyle w:val="BodyText"/>
      </w:pPr>
      <w:r>
        <w:t xml:space="preserve">This chapter demonstrates </w:t>
      </w:r>
      <w:r w:rsidR="0000221F">
        <w:t>that the method of working with separate WPs, while necessary to achieve result</w:t>
      </w:r>
      <w:r w:rsidR="009C604D">
        <w:t>s</w:t>
      </w:r>
      <w:r w:rsidR="0000221F">
        <w:t xml:space="preserve"> in a short time</w:t>
      </w:r>
      <w:r w:rsidR="009C604D">
        <w:t>-frame</w:t>
      </w:r>
      <w:r w:rsidR="0000221F">
        <w:t>, was less than ideal as it did not start with</w:t>
      </w:r>
      <w:r w:rsidR="00C07DE7">
        <w:t xml:space="preserve"> a framework deal</w:t>
      </w:r>
      <w:r w:rsidR="0000221F">
        <w:t>ing</w:t>
      </w:r>
      <w:r w:rsidR="00C07DE7">
        <w:t xml:space="preserve"> with topics in a logical order, </w:t>
      </w:r>
      <w:r w:rsidR="0000221F">
        <w:t xml:space="preserve">failed to have </w:t>
      </w:r>
      <w:r w:rsidR="00D12B75">
        <w:t>the necessary</w:t>
      </w:r>
      <w:r>
        <w:t xml:space="preserve"> coordination</w:t>
      </w:r>
      <w:r w:rsidR="00D12B75">
        <w:t xml:space="preserve">, and the FC stopped WPs taking a wider view. </w:t>
      </w:r>
      <w:r w:rsidR="008C5E25" w:rsidRPr="008C5E25">
        <w:t xml:space="preserve">The response from the majority of the </w:t>
      </w:r>
      <w:proofErr w:type="spellStart"/>
      <w:r w:rsidR="008C5E25" w:rsidRPr="008C5E25">
        <w:t>OEEC</w:t>
      </w:r>
      <w:proofErr w:type="spellEnd"/>
      <w:r w:rsidR="008C5E25" w:rsidRPr="008C5E25">
        <w:t>/OECD delegates of the period probably would be that such an approach would have put theory ahead of concrete results, which was the driving force of the FC.</w:t>
      </w:r>
      <w:r w:rsidR="008C5E25">
        <w:t xml:space="preserve"> </w:t>
      </w:r>
      <w:r w:rsidR="00C07DE7">
        <w:t xml:space="preserve">Another </w:t>
      </w:r>
      <w:r w:rsidR="00C4117E">
        <w:t>issue</w:t>
      </w:r>
      <w:r w:rsidR="00C07DE7">
        <w:t xml:space="preserve"> was that the US and Canada came on the scene too late to influence it fundamentally resulting in a Eurocentric bias</w:t>
      </w:r>
      <w:r w:rsidR="00C4117E">
        <w:t>, which has only been gradually eliminated</w:t>
      </w:r>
      <w:r w:rsidR="00C07DE7">
        <w:t>.</w:t>
      </w:r>
      <w:r w:rsidR="00C4117E">
        <w:rPr>
          <w:rStyle w:val="FootnoteReference"/>
        </w:rPr>
        <w:footnoteReference w:id="112"/>
      </w:r>
      <w:r w:rsidR="0000221F" w:rsidRPr="0000221F">
        <w:t xml:space="preserve"> </w:t>
      </w:r>
    </w:p>
    <w:p w14:paraId="77B7CFB4" w14:textId="74EFCC27" w:rsidR="00F2768F" w:rsidRPr="00F2768F" w:rsidRDefault="00D12B75" w:rsidP="00F2768F">
      <w:pPr>
        <w:pStyle w:val="BodyText"/>
      </w:pPr>
      <w:r>
        <w:t>But in spite of these</w:t>
      </w:r>
      <w:r w:rsidR="0000221F">
        <w:t xml:space="preserve"> </w:t>
      </w:r>
      <w:r w:rsidR="00C4117E">
        <w:t xml:space="preserve">drawbacks </w:t>
      </w:r>
      <w:r w:rsidR="0000221F">
        <w:t xml:space="preserve">the OECD Model </w:t>
      </w:r>
      <w:r>
        <w:t>wa</w:t>
      </w:r>
      <w:r w:rsidR="0000221F">
        <w:t>s an amazing achievement that has been adopted as the basis for most of the world’s tax treaties even between non-members</w:t>
      </w:r>
      <w:r w:rsidR="00C4117E">
        <w:t xml:space="preserve"> of the OECD</w:t>
      </w:r>
      <w:r w:rsidR="0000221F">
        <w:t>.</w:t>
      </w:r>
      <w:r w:rsidR="008C5E25">
        <w:t xml:space="preserve"> </w:t>
      </w:r>
      <w:r w:rsidR="00CE2FC7">
        <w:t xml:space="preserve">The widespread </w:t>
      </w:r>
      <w:r w:rsidR="00E04E62">
        <w:t xml:space="preserve">national </w:t>
      </w:r>
      <w:r w:rsidR="00CE2FC7">
        <w:t xml:space="preserve">representation on the </w:t>
      </w:r>
      <w:r w:rsidR="00022988">
        <w:t xml:space="preserve">small </w:t>
      </w:r>
      <w:r w:rsidR="00CE2FC7">
        <w:t>Working Parties</w:t>
      </w:r>
      <w:r w:rsidR="00E04E62">
        <w:t xml:space="preserve">, out of necessity in the FC’s early days, gave a democratic feel to the process especially when combined with the </w:t>
      </w:r>
      <w:r w:rsidR="00CE2FC7">
        <w:t xml:space="preserve">generally </w:t>
      </w:r>
      <w:r w:rsidR="00CE2FC7" w:rsidRPr="00EC0190">
        <w:rPr>
          <w:i/>
          <w:iCs/>
        </w:rPr>
        <w:t>laissez faire</w:t>
      </w:r>
      <w:r w:rsidR="00CE2FC7">
        <w:t xml:space="preserve"> approach of the chair and the FC to the</w:t>
      </w:r>
      <w:r w:rsidR="00E04E62">
        <w:t>ir reports</w:t>
      </w:r>
      <w:r w:rsidR="00CE2FC7">
        <w:t xml:space="preserve">, </w:t>
      </w:r>
      <w:r w:rsidR="00E04E62">
        <w:t xml:space="preserve">and </w:t>
      </w:r>
      <w:r w:rsidR="00CE2FC7">
        <w:t>particularly with France, Germany</w:t>
      </w:r>
      <w:r w:rsidR="00E04E62">
        <w:t>,</w:t>
      </w:r>
      <w:r w:rsidR="00CE2FC7">
        <w:t xml:space="preserve"> the UK </w:t>
      </w:r>
      <w:r w:rsidR="00E04E62">
        <w:t xml:space="preserve">and later the US, </w:t>
      </w:r>
      <w:r w:rsidR="00CE2FC7">
        <w:t>not seeking to dominate the process</w:t>
      </w:r>
      <w:r w:rsidR="00E04E62">
        <w:t>.</w:t>
      </w:r>
      <w:r w:rsidR="00E46787">
        <w:t xml:space="preserve"> The greater concentration of </w:t>
      </w:r>
      <w:r w:rsidR="00022988">
        <w:t xml:space="preserve">OECD </w:t>
      </w:r>
      <w:r w:rsidR="00E46787">
        <w:t xml:space="preserve">work in </w:t>
      </w:r>
      <w:r w:rsidR="00022988">
        <w:t>its</w:t>
      </w:r>
      <w:r w:rsidR="00E46787">
        <w:t xml:space="preserve"> secretariat</w:t>
      </w:r>
      <w:r w:rsidR="00022988">
        <w:t>,</w:t>
      </w:r>
      <w:r w:rsidR="00E46787">
        <w:t xml:space="preserve"> particular</w:t>
      </w:r>
      <w:r w:rsidR="00022988">
        <w:t>l</w:t>
      </w:r>
      <w:r w:rsidR="00E46787">
        <w:t xml:space="preserve">y in relation to the </w:t>
      </w:r>
      <w:r w:rsidR="00022988">
        <w:t>Base Erosion and Profit Shifting project of recent years, may have lost that democratic element.</w:t>
      </w:r>
    </w:p>
    <w:p w14:paraId="51252A71" w14:textId="77777777" w:rsidR="00083802" w:rsidRDefault="00083802" w:rsidP="00AA1E94">
      <w:pPr>
        <w:pStyle w:val="BodyText"/>
        <w:spacing w:before="120"/>
        <w:rPr>
          <w:lang w:val="en-AU"/>
        </w:rPr>
      </w:pPr>
    </w:p>
    <w:sectPr w:rsidR="00083802" w:rsidSect="00950CAA">
      <w:footerReference w:type="default" r:id="rId8"/>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D6BE" w14:textId="77777777" w:rsidR="00AD01E0" w:rsidRDefault="00AD01E0" w:rsidP="002B61D2">
      <w:r>
        <w:separator/>
      </w:r>
    </w:p>
  </w:endnote>
  <w:endnote w:type="continuationSeparator" w:id="0">
    <w:p w14:paraId="666BA43A" w14:textId="77777777" w:rsidR="00AD01E0" w:rsidRDefault="00AD01E0" w:rsidP="002B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38992"/>
      <w:docPartObj>
        <w:docPartGallery w:val="Page Numbers (Bottom of Page)"/>
        <w:docPartUnique/>
      </w:docPartObj>
    </w:sdtPr>
    <w:sdtEndPr>
      <w:rPr>
        <w:noProof/>
      </w:rPr>
    </w:sdtEndPr>
    <w:sdtContent>
      <w:p w14:paraId="4823AC34" w14:textId="52BEB7EB" w:rsidR="002804F8" w:rsidRDefault="002804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D830D" w14:textId="77777777" w:rsidR="002804F8" w:rsidRDefault="0028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8782" w14:textId="77777777" w:rsidR="00AD01E0" w:rsidRDefault="00AD01E0" w:rsidP="002B61D2">
      <w:r>
        <w:separator/>
      </w:r>
    </w:p>
  </w:footnote>
  <w:footnote w:type="continuationSeparator" w:id="0">
    <w:p w14:paraId="7CE92F7D" w14:textId="77777777" w:rsidR="00AD01E0" w:rsidRDefault="00AD01E0" w:rsidP="002B61D2">
      <w:r>
        <w:continuationSeparator/>
      </w:r>
    </w:p>
  </w:footnote>
  <w:footnote w:id="1">
    <w:p w14:paraId="05F726E4" w14:textId="5146A584" w:rsidR="002A206D" w:rsidRPr="00675C58" w:rsidRDefault="002A206D" w:rsidP="001A2893">
      <w:pPr>
        <w:pStyle w:val="FootnoteText"/>
        <w:rPr>
          <w:b/>
          <w:bCs/>
        </w:rPr>
      </w:pPr>
      <w:r>
        <w:rPr>
          <w:rStyle w:val="FootnoteReference"/>
        </w:rPr>
        <w:footnoteRef/>
      </w:r>
      <w:r>
        <w:t xml:space="preserve"> This period </w:t>
      </w:r>
      <w:r w:rsidR="00DA13EA">
        <w:t xml:space="preserve">(1940-1950) </w:t>
      </w:r>
      <w:r>
        <w:t>in the League</w:t>
      </w:r>
      <w:r w:rsidR="00DA13EA">
        <w:t xml:space="preserve"> and UN</w:t>
      </w:r>
      <w:r>
        <w:t xml:space="preserve">’s history is examined </w:t>
      </w:r>
      <w:r w:rsidR="00365B45">
        <w:t>in</w:t>
      </w:r>
      <w:r>
        <w:t xml:space="preserve"> </w:t>
      </w:r>
      <w:r w:rsidR="0051088D">
        <w:t xml:space="preserve">Dr </w:t>
      </w:r>
      <w:r>
        <w:t>Nikki Teo</w:t>
      </w:r>
      <w:r w:rsidR="00365B45">
        <w:t xml:space="preserve">, </w:t>
      </w:r>
      <w:r w:rsidR="00365B45">
        <w:rPr>
          <w:i/>
          <w:iCs/>
        </w:rPr>
        <w:t>The United Nations in Global Tax Coordination: Hidden History and Politics,</w:t>
      </w:r>
      <w:r w:rsidR="001A2893">
        <w:t xml:space="preserve"> </w:t>
      </w:r>
      <w:r w:rsidR="00AF0E0D">
        <w:t>Cambridge University Press [</w:t>
      </w:r>
      <w:r w:rsidR="00AF0E0D" w:rsidRPr="00AF0E0D">
        <w:rPr>
          <w:highlight w:val="yellow"/>
        </w:rPr>
        <w:t>2022</w:t>
      </w:r>
      <w:r w:rsidR="00AF0E0D">
        <w:t>]</w:t>
      </w:r>
      <w:r w:rsidR="00675C58">
        <w:t>.</w:t>
      </w:r>
      <w:r w:rsidR="00220929">
        <w:t xml:space="preserve"> See also Richard Vann, ‘International Tax Policy and International Tax Institutions: Never the Twain?’ in </w:t>
      </w:r>
      <w:r w:rsidR="00220929" w:rsidRPr="00220929">
        <w:rPr>
          <w:i/>
          <w:iCs/>
        </w:rPr>
        <w:t>Current Tax Treaty Issues</w:t>
      </w:r>
      <w:r w:rsidR="00220929">
        <w:t xml:space="preserve"> ed G Maisto, IBFD 2020, 41, 52.</w:t>
      </w:r>
    </w:p>
  </w:footnote>
  <w:footnote w:id="2">
    <w:p w14:paraId="1F1F865D" w14:textId="4AF2152F" w:rsidR="00555D86" w:rsidRDefault="00555D86">
      <w:pPr>
        <w:pStyle w:val="FootnoteText"/>
      </w:pPr>
      <w:r>
        <w:rPr>
          <w:rStyle w:val="FootnoteReference"/>
        </w:rPr>
        <w:footnoteRef/>
      </w:r>
      <w:r>
        <w:t xml:space="preserve"> Draft Convention for the avoidance of double taxation with respect to taxes on income and capital, OECD 1963.</w:t>
      </w:r>
    </w:p>
  </w:footnote>
  <w:footnote w:id="3">
    <w:p w14:paraId="2E6FA906" w14:textId="7990C82B" w:rsidR="00A651B6" w:rsidRDefault="00A651B6">
      <w:pPr>
        <w:pStyle w:val="FootnoteText"/>
      </w:pPr>
      <w:r>
        <w:rPr>
          <w:rStyle w:val="FootnoteReference"/>
        </w:rPr>
        <w:footnoteRef/>
      </w:r>
      <w:r>
        <w:t xml:space="preserve"> The articles were immovable property, dividends, and relief of double taxation.</w:t>
      </w:r>
    </w:p>
  </w:footnote>
  <w:footnote w:id="4">
    <w:p w14:paraId="6C220E1C" w14:textId="056D0F9C" w:rsidR="009C2EF7" w:rsidRDefault="009C2EF7">
      <w:pPr>
        <w:pStyle w:val="FootnoteText"/>
      </w:pPr>
      <w:r>
        <w:rPr>
          <w:rStyle w:val="FootnoteReference"/>
        </w:rPr>
        <w:footnoteRef/>
      </w:r>
      <w:r>
        <w:t xml:space="preserve"> C(56)49 (meeting on 16 March 1956).</w:t>
      </w:r>
      <w:r w:rsidR="00DC2BB3">
        <w:t xml:space="preserve"> This and other similar references </w:t>
      </w:r>
      <w:r w:rsidR="00726BD1">
        <w:t>are</w:t>
      </w:r>
      <w:r w:rsidR="00DC2BB3">
        <w:t xml:space="preserve"> to </w:t>
      </w:r>
      <w:hyperlink r:id="rId1" w:history="1">
        <w:r w:rsidR="00DC2BB3" w:rsidRPr="008350AD">
          <w:rPr>
            <w:rStyle w:val="Hyperlink"/>
          </w:rPr>
          <w:t>www.taxtreatieshistory.org</w:t>
        </w:r>
      </w:hyperlink>
      <w:r w:rsidR="00DC2BB3">
        <w:t xml:space="preserve">, a joint project of the OECD, Institute for Austrian and International Tax Law Vienna, </w:t>
      </w:r>
      <w:proofErr w:type="spellStart"/>
      <w:r w:rsidR="00DC2BB3" w:rsidRPr="00DC2BB3">
        <w:t>Università</w:t>
      </w:r>
      <w:proofErr w:type="spellEnd"/>
      <w:r w:rsidR="00DC2BB3" w:rsidRPr="00DC2BB3">
        <w:t xml:space="preserve"> Cattolica del Sacro Cuore</w:t>
      </w:r>
      <w:r w:rsidR="00DC2BB3">
        <w:t xml:space="preserve"> Italy, IFA Canadian Branch and </w:t>
      </w:r>
      <w:r w:rsidR="00ED72E2">
        <w:t xml:space="preserve">University of </w:t>
      </w:r>
      <w:r w:rsidR="00DC2BB3">
        <w:t xml:space="preserve">Sydney Law School. </w:t>
      </w:r>
      <w:r w:rsidR="00984FBE">
        <w:t xml:space="preserve">The background to the setting up of the FC and its operations until the end of 1957 </w:t>
      </w:r>
      <w:r w:rsidR="00E85F0B">
        <w:t>is</w:t>
      </w:r>
      <w:r w:rsidR="00984FBE">
        <w:t xml:space="preserve"> dealt with in </w:t>
      </w:r>
      <w:r w:rsidR="00E85F0B">
        <w:t xml:space="preserve">the accompanying paper, </w:t>
      </w:r>
      <w:r w:rsidR="00984FBE">
        <w:t>Vann, ‘</w:t>
      </w:r>
      <w:r w:rsidR="00984FBE" w:rsidRPr="00984FBE">
        <w:t xml:space="preserve">Origins of the </w:t>
      </w:r>
      <w:proofErr w:type="spellStart"/>
      <w:r w:rsidR="00984FBE" w:rsidRPr="00984FBE">
        <w:t>OEEC</w:t>
      </w:r>
      <w:proofErr w:type="spellEnd"/>
      <w:r w:rsidR="00984FBE" w:rsidRPr="00984FBE">
        <w:t xml:space="preserve"> Work on Tax Treaties: Continuity or Fresh Start?</w:t>
      </w:r>
      <w:r w:rsidR="00984FBE">
        <w:t>’</w:t>
      </w:r>
      <w:r w:rsidR="00E85F0B">
        <w:t xml:space="preserve">, which considers whether there was a grand plan in the conception and initial setup of the </w:t>
      </w:r>
      <w:proofErr w:type="spellStart"/>
      <w:r w:rsidR="00E85F0B">
        <w:t>OEEC</w:t>
      </w:r>
      <w:proofErr w:type="spellEnd"/>
      <w:r w:rsidR="00E85F0B">
        <w:t xml:space="preserve"> with a negative answer.</w:t>
      </w:r>
    </w:p>
  </w:footnote>
  <w:footnote w:id="5">
    <w:p w14:paraId="7FB4B20E" w14:textId="77777777" w:rsidR="00F7520A" w:rsidRDefault="00F7520A" w:rsidP="002B61D2">
      <w:pPr>
        <w:pStyle w:val="FootnoteText"/>
      </w:pPr>
      <w:r>
        <w:rPr>
          <w:rStyle w:val="FootnoteReference"/>
        </w:rPr>
        <w:footnoteRef/>
      </w:r>
      <w:r>
        <w:t xml:space="preserve"> C(54)294 </w:t>
      </w:r>
      <w:r>
        <w:rPr>
          <w:rStyle w:val="code"/>
        </w:rPr>
        <w:t>(12 November 1954)</w:t>
      </w:r>
      <w:r>
        <w:t>.</w:t>
      </w:r>
    </w:p>
  </w:footnote>
  <w:footnote w:id="6">
    <w:p w14:paraId="7D5DFEF9" w14:textId="5F9EDE12" w:rsidR="007D6B9F" w:rsidRDefault="007D6B9F">
      <w:pPr>
        <w:pStyle w:val="FootnoteText"/>
      </w:pPr>
      <w:r>
        <w:rPr>
          <w:rStyle w:val="FootnoteReference"/>
        </w:rPr>
        <w:footnoteRef/>
      </w:r>
      <w:r>
        <w:t xml:space="preserve"> C(55)307 (9 December 1955).</w:t>
      </w:r>
    </w:p>
  </w:footnote>
  <w:footnote w:id="7">
    <w:p w14:paraId="7C96CF5F" w14:textId="24E6196C" w:rsidR="007233C1" w:rsidRDefault="007233C1">
      <w:pPr>
        <w:pStyle w:val="FootnoteText"/>
      </w:pPr>
      <w:r>
        <w:rPr>
          <w:rStyle w:val="FootnoteReference"/>
        </w:rPr>
        <w:footnoteRef/>
      </w:r>
      <w:r>
        <w:t xml:space="preserve"> The internal discussions in the UK are in </w:t>
      </w:r>
      <w:r w:rsidR="00624445">
        <w:t xml:space="preserve">The National Archives </w:t>
      </w:r>
      <w:r>
        <w:t>IR 40/17035</w:t>
      </w:r>
      <w:r w:rsidR="00401D20">
        <w:t>, particular</w:t>
      </w:r>
      <w:r w:rsidR="00726BD1">
        <w:t>ly</w:t>
      </w:r>
      <w:r w:rsidR="00401D20">
        <w:t xml:space="preserve"> the Brief for the UK delegation (undated but likely to be </w:t>
      </w:r>
      <w:r w:rsidR="00CE7E1C">
        <w:t>February</w:t>
      </w:r>
      <w:r w:rsidR="00401D20">
        <w:t xml:space="preserve"> 1956</w:t>
      </w:r>
      <w:r w:rsidR="00CE7E1C">
        <w:t>)</w:t>
      </w:r>
      <w:r>
        <w:t>.</w:t>
      </w:r>
    </w:p>
  </w:footnote>
  <w:footnote w:id="8">
    <w:p w14:paraId="521FBA25" w14:textId="6CBA2F01" w:rsidR="00F7520A" w:rsidRDefault="00F7520A" w:rsidP="002B61D2">
      <w:pPr>
        <w:pStyle w:val="FootnoteText"/>
      </w:pPr>
      <w:r>
        <w:rPr>
          <w:rStyle w:val="FootnoteReference"/>
        </w:rPr>
        <w:footnoteRef/>
      </w:r>
      <w:r>
        <w:t xml:space="preserve"> C(56)1 (13 January 1956).  </w:t>
      </w:r>
    </w:p>
  </w:footnote>
  <w:footnote w:id="9">
    <w:p w14:paraId="26350F69" w14:textId="77777777" w:rsidR="00F7520A" w:rsidRDefault="00F7520A" w:rsidP="002B61D2">
      <w:pPr>
        <w:pStyle w:val="FootnoteText"/>
      </w:pPr>
      <w:r>
        <w:rPr>
          <w:rStyle w:val="FootnoteReference"/>
        </w:rPr>
        <w:footnoteRef/>
      </w:r>
      <w:r>
        <w:t xml:space="preserve"> Note by the Secretary-General, FC(56)1 (16 May 1956).</w:t>
      </w:r>
    </w:p>
  </w:footnote>
  <w:footnote w:id="10">
    <w:p w14:paraId="5C9CED2F" w14:textId="77777777" w:rsidR="00F7520A" w:rsidRDefault="00F7520A" w:rsidP="002B61D2">
      <w:pPr>
        <w:pStyle w:val="FootnoteText"/>
      </w:pPr>
      <w:r>
        <w:rPr>
          <w:rStyle w:val="FootnoteReference"/>
        </w:rPr>
        <w:footnoteRef/>
      </w:r>
      <w:r>
        <w:t xml:space="preserve"> C(56)49(Final) (19 March 1956).</w:t>
      </w:r>
    </w:p>
  </w:footnote>
  <w:footnote w:id="11">
    <w:p w14:paraId="4CBB314C" w14:textId="77777777" w:rsidR="00F7520A" w:rsidRDefault="00F7520A" w:rsidP="002B61D2">
      <w:pPr>
        <w:pStyle w:val="FootnoteText"/>
      </w:pPr>
      <w:r>
        <w:rPr>
          <w:rStyle w:val="FootnoteReference"/>
        </w:rPr>
        <w:footnoteRef/>
      </w:r>
      <w:r>
        <w:t xml:space="preserve"> This had been identified as a topic by the ad-hoc group of experts, see C(56)49 (24 February 1956).</w:t>
      </w:r>
    </w:p>
  </w:footnote>
  <w:footnote w:id="12">
    <w:p w14:paraId="445F0D4C" w14:textId="69A0B389" w:rsidR="00F7520A" w:rsidRDefault="00F7520A" w:rsidP="002B61D2">
      <w:pPr>
        <w:pStyle w:val="FootnoteText"/>
      </w:pPr>
      <w:r>
        <w:rPr>
          <w:rStyle w:val="FootnoteReference"/>
        </w:rPr>
        <w:footnoteRef/>
      </w:r>
      <w:r>
        <w:t xml:space="preserve"> C(57)145 (3 July 1957).  </w:t>
      </w:r>
    </w:p>
  </w:footnote>
  <w:footnote w:id="13">
    <w:p w14:paraId="0D8DEA8A" w14:textId="77777777" w:rsidR="00F7520A" w:rsidRDefault="00F7520A" w:rsidP="002B61D2">
      <w:pPr>
        <w:pStyle w:val="FootnoteText"/>
      </w:pPr>
      <w:r>
        <w:rPr>
          <w:rStyle w:val="FootnoteReference"/>
        </w:rPr>
        <w:footnoteRef/>
      </w:r>
      <w:r>
        <w:t xml:space="preserve"> C(58)118 (28 May 1958).</w:t>
      </w:r>
    </w:p>
  </w:footnote>
  <w:footnote w:id="14">
    <w:p w14:paraId="186B6004" w14:textId="77777777" w:rsidR="00F7520A" w:rsidRDefault="00F7520A" w:rsidP="002B61D2">
      <w:pPr>
        <w:pStyle w:val="FootnoteText"/>
      </w:pPr>
      <w:r>
        <w:rPr>
          <w:rStyle w:val="FootnoteReference"/>
        </w:rPr>
        <w:footnoteRef/>
      </w:r>
      <w:r>
        <w:t xml:space="preserve"> C(58)118(Final) (15 July 1958), published as the Fiscal Committee’s First Report in September 1958.</w:t>
      </w:r>
    </w:p>
  </w:footnote>
  <w:footnote w:id="15">
    <w:p w14:paraId="6A4F2F8D" w14:textId="77777777" w:rsidR="00F7520A" w:rsidRDefault="00F7520A" w:rsidP="002B61D2">
      <w:pPr>
        <w:pStyle w:val="FootnoteText"/>
      </w:pPr>
      <w:r>
        <w:rPr>
          <w:rStyle w:val="FootnoteReference"/>
        </w:rPr>
        <w:footnoteRef/>
      </w:r>
      <w:r>
        <w:t xml:space="preserve"> Covering shipping and air transport, dependent and independent personal services, immovable property, and capital.</w:t>
      </w:r>
    </w:p>
  </w:footnote>
  <w:footnote w:id="16">
    <w:p w14:paraId="7AE0139A" w14:textId="6A9347F6" w:rsidR="00F7520A" w:rsidRDefault="00F7520A" w:rsidP="002B61D2">
      <w:pPr>
        <w:pStyle w:val="FootnoteText"/>
      </w:pPr>
      <w:r>
        <w:rPr>
          <w:rStyle w:val="FootnoteReference"/>
        </w:rPr>
        <w:footnoteRef/>
      </w:r>
      <w:r>
        <w:t xml:space="preserve"> Covering allocation of profits to a </w:t>
      </w:r>
      <w:r w:rsidR="0051088D">
        <w:t>PE</w:t>
      </w:r>
      <w:r>
        <w:t>, other income, personal scope, and territorial extension.</w:t>
      </w:r>
    </w:p>
  </w:footnote>
  <w:footnote w:id="17">
    <w:p w14:paraId="015D03EB" w14:textId="77777777" w:rsidR="00F7520A" w:rsidRDefault="00F7520A" w:rsidP="002B61D2">
      <w:pPr>
        <w:pStyle w:val="FootnoteText"/>
      </w:pPr>
      <w:r>
        <w:rPr>
          <w:rStyle w:val="FootnoteReference"/>
        </w:rPr>
        <w:footnoteRef/>
      </w:r>
      <w:r>
        <w:t xml:space="preserve"> Covering dividends, interest, royalties, avoidance of double taxation and mutual agreement procedure.</w:t>
      </w:r>
    </w:p>
  </w:footnote>
  <w:footnote w:id="18">
    <w:p w14:paraId="7D105EE0" w14:textId="551D62DB" w:rsidR="00BE4F1D" w:rsidRDefault="00BE4F1D">
      <w:pPr>
        <w:pStyle w:val="FootnoteText"/>
      </w:pPr>
      <w:r>
        <w:rPr>
          <w:rStyle w:val="FootnoteReference"/>
        </w:rPr>
        <w:footnoteRef/>
      </w:r>
      <w:r>
        <w:t xml:space="preserve"> See n </w:t>
      </w:r>
      <w:r>
        <w:fldChar w:fldCharType="begin"/>
      </w:r>
      <w:r>
        <w:instrText xml:space="preserve"> NOTEREF _Ref227751468 \h </w:instrText>
      </w:r>
      <w:r>
        <w:fldChar w:fldCharType="separate"/>
      </w:r>
      <w:r w:rsidR="001C0502">
        <w:t>12</w:t>
      </w:r>
      <w:r>
        <w:fldChar w:fldCharType="end"/>
      </w:r>
      <w:r>
        <w:t xml:space="preserve"> for the dates of </w:t>
      </w:r>
      <w:r w:rsidR="00363F52">
        <w:t xml:space="preserve">operation of the </w:t>
      </w:r>
      <w:r>
        <w:t>WPs.</w:t>
      </w:r>
    </w:p>
  </w:footnote>
  <w:footnote w:id="19">
    <w:p w14:paraId="686C0358" w14:textId="702AE0F3" w:rsidR="00F7520A" w:rsidRDefault="00F7520A" w:rsidP="002B61D2">
      <w:pPr>
        <w:pStyle w:val="FootnoteText"/>
      </w:pPr>
      <w:r>
        <w:rPr>
          <w:rStyle w:val="FootnoteReference"/>
        </w:rPr>
        <w:footnoteRef/>
      </w:r>
      <w:r>
        <w:t xml:space="preserve"> The articles on general definitions, capital gains, exchange of information, diplomatic and consular officials, entry into force, and termination.</w:t>
      </w:r>
    </w:p>
  </w:footnote>
  <w:footnote w:id="20">
    <w:p w14:paraId="0CF4A445" w14:textId="5BCD58DB" w:rsidR="00D81A14" w:rsidRDefault="00D81A14">
      <w:pPr>
        <w:pStyle w:val="FootnoteText"/>
      </w:pPr>
      <w:r>
        <w:rPr>
          <w:rStyle w:val="FootnoteReference"/>
        </w:rPr>
        <w:footnoteRef/>
      </w:r>
      <w:r>
        <w:t xml:space="preserve"> It was a </w:t>
      </w:r>
      <w:r w:rsidR="00363F52">
        <w:t>‘D</w:t>
      </w:r>
      <w:r>
        <w:t>raft</w:t>
      </w:r>
      <w:r w:rsidR="00363F52">
        <w:t>’</w:t>
      </w:r>
      <w:r>
        <w:t xml:space="preserve"> rather than a </w:t>
      </w:r>
      <w:r w:rsidR="00363F52">
        <w:t>‘</w:t>
      </w:r>
      <w:r>
        <w:t>Model</w:t>
      </w:r>
      <w:r w:rsidR="00363F52">
        <w:t>’</w:t>
      </w:r>
      <w:r>
        <w:t xml:space="preserve"> because the US and Canada joined in 1961 (see the heading below </w:t>
      </w:r>
      <w:r w:rsidRPr="00D81A14">
        <w:rPr>
          <w:i/>
          <w:lang w:val="en-AU"/>
        </w:rPr>
        <w:t xml:space="preserve">The change from the </w:t>
      </w:r>
      <w:proofErr w:type="spellStart"/>
      <w:r w:rsidRPr="00D81A14">
        <w:rPr>
          <w:i/>
          <w:lang w:val="en-AU"/>
        </w:rPr>
        <w:t>OEEC</w:t>
      </w:r>
      <w:proofErr w:type="spellEnd"/>
      <w:r w:rsidRPr="00D81A14">
        <w:rPr>
          <w:i/>
          <w:lang w:val="en-AU"/>
        </w:rPr>
        <w:t xml:space="preserve"> to the OECD</w:t>
      </w:r>
      <w:r>
        <w:rPr>
          <w:iCs/>
          <w:lang w:val="en-AU"/>
        </w:rPr>
        <w:t xml:space="preserve">) </w:t>
      </w:r>
      <w:r>
        <w:t xml:space="preserve">when it became the OECD and they had not been involved otherwise as observers in most of the preparation and did not agree with everything. It did not become a </w:t>
      </w:r>
      <w:r w:rsidR="00363F52">
        <w:t>‘</w:t>
      </w:r>
      <w:r>
        <w:t>Model</w:t>
      </w:r>
      <w:r w:rsidR="00363F52">
        <w:t>’</w:t>
      </w:r>
      <w:r>
        <w:t xml:space="preserve"> until 1977.</w:t>
      </w:r>
    </w:p>
  </w:footnote>
  <w:footnote w:id="21">
    <w:p w14:paraId="1322B043" w14:textId="20E2796D" w:rsidR="00B40E94" w:rsidRDefault="00B40E94">
      <w:pPr>
        <w:pStyle w:val="FootnoteText"/>
      </w:pPr>
      <w:r>
        <w:rPr>
          <w:rStyle w:val="FootnoteReference"/>
        </w:rPr>
        <w:footnoteRef/>
      </w:r>
      <w:r>
        <w:t xml:space="preserve"> The treaty with Belgium (1953) defined residence for Belgium as </w:t>
      </w:r>
      <w:r w:rsidRPr="00342455">
        <w:rPr>
          <w:lang w:val="en-AU"/>
        </w:rPr>
        <w:t>his fiscal domicile or as having a house available for his use in Belgium</w:t>
      </w:r>
      <w:r>
        <w:rPr>
          <w:lang w:val="en-AU"/>
        </w:rPr>
        <w:t>. The treaty with the US (1945) contained no residence definition.</w:t>
      </w:r>
    </w:p>
  </w:footnote>
  <w:footnote w:id="22">
    <w:p w14:paraId="67439A01" w14:textId="77777777" w:rsidR="001A0892" w:rsidRPr="00342455" w:rsidRDefault="001A0892" w:rsidP="001A0892">
      <w:pPr>
        <w:pStyle w:val="FootnoteText"/>
      </w:pPr>
      <w:r>
        <w:rPr>
          <w:rStyle w:val="FootnoteReference"/>
        </w:rPr>
        <w:footnoteRef/>
      </w:r>
      <w:r>
        <w:t xml:space="preserve"> </w:t>
      </w:r>
      <w:r>
        <w:rPr>
          <w:lang w:val="en-AU"/>
        </w:rPr>
        <w:t>The treaties with the US, Sweden and Switzerland defined company residence for those countries as incorporated there and not managed and controlled (or in the US treaty, resident) in the UK.</w:t>
      </w:r>
    </w:p>
  </w:footnote>
  <w:footnote w:id="23">
    <w:p w14:paraId="70D213C8" w14:textId="40789A79" w:rsidR="001A0892" w:rsidRDefault="001A0892">
      <w:pPr>
        <w:pStyle w:val="FootnoteText"/>
      </w:pPr>
      <w:r>
        <w:rPr>
          <w:rStyle w:val="FootnoteReference"/>
        </w:rPr>
        <w:footnoteRef/>
      </w:r>
      <w:r>
        <w:t xml:space="preserve"> For </w:t>
      </w:r>
      <w:r w:rsidR="001F59D6">
        <w:t>example,</w:t>
      </w:r>
      <w:r>
        <w:t xml:space="preserve"> the Dutch </w:t>
      </w:r>
      <w:r w:rsidR="001B66AD">
        <w:t xml:space="preserve">domestic residence </w:t>
      </w:r>
      <w:r>
        <w:t xml:space="preserve">rule </w:t>
      </w:r>
      <w:r w:rsidR="001B66AD">
        <w:t xml:space="preserve">for companies </w:t>
      </w:r>
      <w:r>
        <w:t>was incorporated or managed there</w:t>
      </w:r>
      <w:r w:rsidR="00DE75D3">
        <w:t xml:space="preserve"> so they gave away residence by virtue of incorporation</w:t>
      </w:r>
      <w:r>
        <w:t>.</w:t>
      </w:r>
    </w:p>
  </w:footnote>
  <w:footnote w:id="24">
    <w:p w14:paraId="483DD907" w14:textId="77777777" w:rsidR="00425134" w:rsidRDefault="00425134" w:rsidP="00425134">
      <w:pPr>
        <w:pStyle w:val="FootnoteText"/>
      </w:pPr>
      <w:r>
        <w:rPr>
          <w:rStyle w:val="FootnoteReference"/>
        </w:rPr>
        <w:footnoteRef/>
      </w:r>
      <w:r>
        <w:t xml:space="preserve"> The treaty </w:t>
      </w:r>
      <w:r>
        <w:rPr>
          <w:lang w:val="en-AU"/>
        </w:rPr>
        <w:t>with Greece resolves dual residence on the basis of nationality; the Canada and UK treaties apply to people who are resident under domestic law in one, but not the other, state thus excluding dual residents; those</w:t>
      </w:r>
      <w:r>
        <w:t xml:space="preserve"> with Austria and Greece define residence for the treaty as </w:t>
      </w:r>
      <w:r w:rsidRPr="00AA79A0">
        <w:rPr>
          <w:lang w:val="en-AU"/>
        </w:rPr>
        <w:t>ha</w:t>
      </w:r>
      <w:r>
        <w:rPr>
          <w:lang w:val="en-AU"/>
        </w:rPr>
        <w:t>ving</w:t>
      </w:r>
      <w:r w:rsidRPr="00AA79A0">
        <w:rPr>
          <w:lang w:val="en-AU"/>
        </w:rPr>
        <w:t xml:space="preserve"> a dwelling under circumstances justifying the assumption that he will retain and use it</w:t>
      </w:r>
      <w:r>
        <w:rPr>
          <w:lang w:val="en-AU"/>
        </w:rPr>
        <w:t xml:space="preserve"> or, if not, in </w:t>
      </w:r>
      <w:r w:rsidRPr="00A13015">
        <w:rPr>
          <w:lang w:val="en-AU"/>
        </w:rPr>
        <w:t xml:space="preserve">the place or in the country where he resides in circumstances </w:t>
      </w:r>
      <w:r>
        <w:rPr>
          <w:lang w:val="en-AU"/>
        </w:rPr>
        <w:t xml:space="preserve">that are not </w:t>
      </w:r>
      <w:r w:rsidRPr="00A13015">
        <w:rPr>
          <w:lang w:val="en-AU"/>
        </w:rPr>
        <w:t>merely temporar</w:t>
      </w:r>
      <w:r>
        <w:rPr>
          <w:lang w:val="en-AU"/>
        </w:rPr>
        <w:t>y; the US treaty is silent about the meaning of residence.</w:t>
      </w:r>
    </w:p>
  </w:footnote>
  <w:footnote w:id="25">
    <w:p w14:paraId="48D7C971" w14:textId="611C17F2" w:rsidR="006F1848" w:rsidRDefault="006F1848" w:rsidP="006F1848">
      <w:pPr>
        <w:pStyle w:val="FootnoteText"/>
      </w:pPr>
      <w:r>
        <w:rPr>
          <w:rStyle w:val="FootnoteReference"/>
        </w:rPr>
        <w:footnoteRef/>
      </w:r>
      <w:r>
        <w:t xml:space="preserve"> Canada (1946) which excluded </w:t>
      </w:r>
      <w:r w:rsidR="00CC16BE">
        <w:t>‘</w:t>
      </w:r>
      <w:r w:rsidRPr="006F1848">
        <w:rPr>
          <w:lang w:val="en-AU"/>
        </w:rPr>
        <w:t>management</w:t>
      </w:r>
      <w:r w:rsidR="001B66AD">
        <w:rPr>
          <w:lang w:val="en-AU"/>
        </w:rPr>
        <w:t>,</w:t>
      </w:r>
      <w:r w:rsidRPr="006F1848">
        <w:rPr>
          <w:lang w:val="en-AU"/>
        </w:rPr>
        <w:t xml:space="preserve"> factory</w:t>
      </w:r>
      <w:r w:rsidR="00CC16BE">
        <w:rPr>
          <w:lang w:val="en-AU"/>
        </w:rPr>
        <w:t>,’ Denmark (1950), France (1950), the Netherlands (1948), New Zealand (1947), Norway (1951)</w:t>
      </w:r>
      <w:r w:rsidR="004C093A">
        <w:rPr>
          <w:lang w:val="en-AU"/>
        </w:rPr>
        <w:t>,</w:t>
      </w:r>
      <w:r w:rsidR="00CC16BE">
        <w:rPr>
          <w:lang w:val="en-AU"/>
        </w:rPr>
        <w:t xml:space="preserve"> Pakistan (1955)</w:t>
      </w:r>
      <w:r w:rsidR="004C093A">
        <w:rPr>
          <w:lang w:val="en-AU"/>
        </w:rPr>
        <w:t>, and US (1945)</w:t>
      </w:r>
      <w:r>
        <w:rPr>
          <w:lang w:val="en-AU"/>
        </w:rPr>
        <w:t>.</w:t>
      </w:r>
    </w:p>
  </w:footnote>
  <w:footnote w:id="26">
    <w:p w14:paraId="7DB689D6" w14:textId="6265CA7D" w:rsidR="00E66EF4" w:rsidRDefault="00E66EF4">
      <w:pPr>
        <w:pStyle w:val="FootnoteText"/>
      </w:pPr>
      <w:r>
        <w:rPr>
          <w:rStyle w:val="FootnoteReference"/>
        </w:rPr>
        <w:footnoteRef/>
      </w:r>
      <w:r>
        <w:t xml:space="preserve"> Possession by the agent of a stock of goods did not </w:t>
      </w:r>
      <w:r w:rsidR="001F59D6">
        <w:t>constitute</w:t>
      </w:r>
      <w:r>
        <w:t xml:space="preserve"> a PE in the treaty with Switzerland.</w:t>
      </w:r>
    </w:p>
  </w:footnote>
  <w:footnote w:id="27">
    <w:p w14:paraId="57CAC123" w14:textId="5425EC8B" w:rsidR="000337E2" w:rsidRDefault="000337E2">
      <w:pPr>
        <w:pStyle w:val="FootnoteText"/>
      </w:pPr>
      <w:r>
        <w:rPr>
          <w:rStyle w:val="FootnoteReference"/>
        </w:rPr>
        <w:footnoteRef/>
      </w:r>
      <w:r>
        <w:t xml:space="preserve"> </w:t>
      </w:r>
      <w:r w:rsidR="00B8451C">
        <w:rPr>
          <w:lang w:val="en-AU"/>
        </w:rPr>
        <w:t>Two treaties</w:t>
      </w:r>
      <w:r w:rsidR="00B8451C" w:rsidRPr="00B8451C">
        <w:t xml:space="preserve"> </w:t>
      </w:r>
      <w:r w:rsidR="00B8451C">
        <w:t xml:space="preserve">(Austria </w:t>
      </w:r>
      <w:r w:rsidR="00CC16BE">
        <w:t>(1956)</w:t>
      </w:r>
      <w:r w:rsidR="00B8451C">
        <w:t xml:space="preserve">, Germany (1954)) </w:t>
      </w:r>
      <w:r w:rsidR="00B8451C">
        <w:rPr>
          <w:lang w:val="en-AU"/>
        </w:rPr>
        <w:t xml:space="preserve">continued ‘such as’ </w:t>
      </w:r>
      <w:r w:rsidR="001F59D6">
        <w:rPr>
          <w:lang w:val="en-AU"/>
        </w:rPr>
        <w:t xml:space="preserve">and listed </w:t>
      </w:r>
      <w:r w:rsidR="00B8451C">
        <w:rPr>
          <w:lang w:val="en-AU"/>
        </w:rPr>
        <w:t>a number of items, while a number of others added further items to the initial list such as workshops and warehouses, and most included a mine or other place for exploitation of natural resources, and a few construction projects lasting a year (</w:t>
      </w:r>
      <w:r w:rsidR="00B8451C">
        <w:t xml:space="preserve">France (1950), Finland (1951), Sweden (1949), Switzerland (1954)). One </w:t>
      </w:r>
      <w:r w:rsidR="00B742EC">
        <w:t>(</w:t>
      </w:r>
      <w:r w:rsidR="00B8451C">
        <w:t>France (1950)</w:t>
      </w:r>
      <w:r w:rsidR="00B742EC">
        <w:t xml:space="preserve">) </w:t>
      </w:r>
      <w:r w:rsidR="00B8451C">
        <w:t>di</w:t>
      </w:r>
      <w:r w:rsidR="00B742EC">
        <w:t>d</w:t>
      </w:r>
      <w:r w:rsidR="00B8451C">
        <w:t xml:space="preserve"> not exclude a subsidi</w:t>
      </w:r>
      <w:r w:rsidR="00B742EC">
        <w:t>a</w:t>
      </w:r>
      <w:r w:rsidR="00B8451C">
        <w:t>ry</w:t>
      </w:r>
      <w:r w:rsidR="00A0485B">
        <w:t>;</w:t>
      </w:r>
      <w:r w:rsidR="00B742EC" w:rsidRPr="00B742EC">
        <w:rPr>
          <w:lang w:val="en-AU"/>
        </w:rPr>
        <w:t xml:space="preserve"> </w:t>
      </w:r>
      <w:r w:rsidR="00B742EC">
        <w:rPr>
          <w:lang w:val="en-AU"/>
        </w:rPr>
        <w:t>and three (</w:t>
      </w:r>
      <w:r w:rsidR="00B742EC">
        <w:t>Finland (1951), France (1950), Pakistan (</w:t>
      </w:r>
      <w:r w:rsidR="00CC16BE">
        <w:t>1955</w:t>
      </w:r>
      <w:r w:rsidR="00B742EC">
        <w:t>))</w:t>
      </w:r>
      <w:r w:rsidR="00A0485B">
        <w:t xml:space="preserve"> did not </w:t>
      </w:r>
      <w:r w:rsidR="00A0485B">
        <w:rPr>
          <w:lang w:val="en-AU"/>
        </w:rPr>
        <w:t xml:space="preserve">exclude purchasing offices; the New Zealand treaty </w:t>
      </w:r>
      <w:r w:rsidR="00CC16BE">
        <w:rPr>
          <w:lang w:val="en-AU"/>
        </w:rPr>
        <w:t xml:space="preserve">(1947) </w:t>
      </w:r>
      <w:r w:rsidR="00A0485B">
        <w:rPr>
          <w:lang w:val="en-AU"/>
        </w:rPr>
        <w:t>required normal remuneration for brokers and general commission agents.</w:t>
      </w:r>
    </w:p>
  </w:footnote>
  <w:footnote w:id="28">
    <w:p w14:paraId="3456A6E9" w14:textId="28C73B9D" w:rsidR="00A0485B" w:rsidRDefault="00A0485B" w:rsidP="00A0485B">
      <w:pPr>
        <w:pStyle w:val="FootnoteText"/>
      </w:pPr>
      <w:r>
        <w:rPr>
          <w:rStyle w:val="FootnoteReference"/>
        </w:rPr>
        <w:footnoteRef/>
      </w:r>
      <w:r>
        <w:t xml:space="preserve"> The variations include having separate agency provisions with their own terminology for each party (UK</w:t>
      </w:r>
      <w:r w:rsidR="001F55EA">
        <w:t xml:space="preserve"> (1954)</w:t>
      </w:r>
      <w:r>
        <w:t>); the exclusion of a subsidiary in three of them (Canada</w:t>
      </w:r>
      <w:r w:rsidR="001F55EA">
        <w:t xml:space="preserve"> (1956)</w:t>
      </w:r>
      <w:r>
        <w:t>, US</w:t>
      </w:r>
      <w:r w:rsidR="001F55EA">
        <w:t xml:space="preserve"> (1954)</w:t>
      </w:r>
      <w:r>
        <w:t>, UK); storage of goods excluded only if used for limited periods (Austria</w:t>
      </w:r>
      <w:r w:rsidR="001F55EA">
        <w:t xml:space="preserve"> (1954)</w:t>
      </w:r>
      <w:r>
        <w:t>); an agent with a stock of goods not included if they are held for execution of occasional urgent orders (Greece</w:t>
      </w:r>
      <w:r w:rsidR="001F55EA">
        <w:t xml:space="preserve"> (1952)</w:t>
      </w:r>
      <w:r>
        <w:t xml:space="preserve">); </w:t>
      </w:r>
      <w:r w:rsidR="00C32DE0">
        <w:t xml:space="preserve">and a </w:t>
      </w:r>
      <w:r>
        <w:t xml:space="preserve">purchasing office not excluded (Greece). </w:t>
      </w:r>
    </w:p>
  </w:footnote>
  <w:footnote w:id="29">
    <w:p w14:paraId="5D80B530" w14:textId="26D08636" w:rsidR="00C978AD" w:rsidRDefault="00C978AD">
      <w:pPr>
        <w:pStyle w:val="FootnoteText"/>
      </w:pPr>
      <w:r>
        <w:rPr>
          <w:rStyle w:val="FootnoteReference"/>
        </w:rPr>
        <w:footnoteRef/>
      </w:r>
      <w:r>
        <w:t xml:space="preserve"> </w:t>
      </w:r>
      <w:r w:rsidRPr="00C978AD">
        <w:t>The following is a list of all the Working Parties and the dates when they operated: 1 permanent establishment (Germany, the UK, May 1956-January 1958); 2 fiscal domicile (Denmark, Luxembourg, May 1956-January 1958); 3 listing of taxes (Italy, Switzerland, May 1956-January 1958); 4 discrimination (Netherlands, France, May 1956-February 1958); 5 shipping and air transport (Sweden, Belgium, May 1956-June 1959); 6 inland waterways (France, Germany, date of creation unclear-February 1958); 7 apportionment of profit (UK, Netherlands, June 1957-March 1960); 8 royalties (Germany, Luxembourg, June 1957-June 1961); 9 immovable property (Italy, Austria, June 1957-November 1958); and 10 dependent and independent services (Sweden, June 1957-December 1958); 11 interest (France, Belgium, February 1958-June 1961); 12 dividends (Germany, Italy, Switzerland, February 1958-June 1961); 13 capital (Switzerland, May 1958-|My 1959); 14 territorial scope, definitions, mutual agreement, exchange of information, diplomatic privileges, entry into force (Austria, Sweden, September 1958-March 1963); 15 avoidance of double taxation (Denmark, Ireland, November 1958-June 1961), and 19 capital gains (Switzerland, US, September 1961-February 1963).  (16 and 18 do not seem to exist; 17 dealt with inheritance taxes which we are not including.)</w:t>
      </w:r>
    </w:p>
  </w:footnote>
  <w:footnote w:id="30">
    <w:p w14:paraId="00539E42" w14:textId="1342F020" w:rsidR="008B734E" w:rsidRDefault="008B734E">
      <w:pPr>
        <w:pStyle w:val="FootnoteText"/>
      </w:pPr>
      <w:r>
        <w:rPr>
          <w:rStyle w:val="FootnoteReference"/>
        </w:rPr>
        <w:footnoteRef/>
      </w:r>
      <w:r>
        <w:t xml:space="preserve"> For an example, see </w:t>
      </w:r>
      <w:proofErr w:type="spellStart"/>
      <w:r>
        <w:t>JFAJ</w:t>
      </w:r>
      <w:proofErr w:type="spellEnd"/>
      <w:r>
        <w:t xml:space="preserve"> and Jürgen Lüdicke, </w:t>
      </w:r>
      <w:r w:rsidR="00DF5E79">
        <w:t>‘</w:t>
      </w:r>
      <w:r>
        <w:t>The Origins of Article 5(5) and 5(6) of the OECD Model</w:t>
      </w:r>
      <w:r w:rsidR="00DF5E79">
        <w:t xml:space="preserve">,’ (2014) </w:t>
      </w:r>
      <w:r w:rsidR="00DF5E79" w:rsidRPr="00DF5E79">
        <w:rPr>
          <w:i/>
          <w:iCs/>
        </w:rPr>
        <w:t>World Tax Journal</w:t>
      </w:r>
      <w:r w:rsidR="00DF5E79">
        <w:t xml:space="preserve">, vol 6, issue 3 </w:t>
      </w:r>
      <w:r w:rsidR="00C660AF">
        <w:t>p</w:t>
      </w:r>
      <w:r w:rsidR="00DF5E79">
        <w:t xml:space="preserve"> 203. </w:t>
      </w:r>
      <w:proofErr w:type="spellStart"/>
      <w:r w:rsidR="00DF5E79">
        <w:t>WP1</w:t>
      </w:r>
      <w:proofErr w:type="spellEnd"/>
      <w:r w:rsidR="00DF5E79">
        <w:t xml:space="preserve"> </w:t>
      </w:r>
      <w:r w:rsidR="009F5370">
        <w:t xml:space="preserve">dealing with the PE article </w:t>
      </w:r>
      <w:r w:rsidR="00DF5E79">
        <w:t xml:space="preserve">comprised </w:t>
      </w:r>
      <w:r w:rsidR="00C660AF">
        <w:t xml:space="preserve">representatives </w:t>
      </w:r>
      <w:r w:rsidR="00DF5E79">
        <w:t>from the UK and Germany</w:t>
      </w:r>
      <w:r w:rsidR="009F5370">
        <w:t xml:space="preserve">. To meet in Paris meant that the UK delegate had to spend two days travelling and spend two nights in Paris, and the German delegate (from Bonn) would need to spend one night in Paris to have a full day’s meeting. </w:t>
      </w:r>
      <w:r w:rsidR="00392704">
        <w:t xml:space="preserve">Even if they met the day after an FC meeting the UK delegate would have to </w:t>
      </w:r>
      <w:r w:rsidR="00C660AF">
        <w:t xml:space="preserve">leave to </w:t>
      </w:r>
      <w:r w:rsidR="00392704">
        <w:t>cross Paris and catch a train at 12.15 pm.</w:t>
      </w:r>
      <w:r w:rsidR="002F1401">
        <w:t xml:space="preserve"> Some meetings may have been held during a FC meeting during an afternoon set aside for this purpose. It is therefore likely that </w:t>
      </w:r>
      <w:r w:rsidR="00181DFA">
        <w:t>much</w:t>
      </w:r>
      <w:r w:rsidR="002F1401">
        <w:t xml:space="preserve"> was dealt with in correspondence (p 236). </w:t>
      </w:r>
      <w:r w:rsidR="00392704">
        <w:t xml:space="preserve">The original language of the minutes of </w:t>
      </w:r>
      <w:proofErr w:type="spellStart"/>
      <w:r w:rsidR="00392704">
        <w:t>WP1</w:t>
      </w:r>
      <w:proofErr w:type="spellEnd"/>
      <w:r w:rsidR="00392704">
        <w:t xml:space="preserve"> is English </w:t>
      </w:r>
      <w:r w:rsidR="003C67A5">
        <w:t xml:space="preserve">(the French being a translation) </w:t>
      </w:r>
      <w:r w:rsidR="004C3DA4">
        <w:t>indicating</w:t>
      </w:r>
      <w:r w:rsidR="00392704">
        <w:t xml:space="preserve"> that they were communicating in English</w:t>
      </w:r>
      <w:r w:rsidR="002F1401">
        <w:t xml:space="preserve">; Mr </w:t>
      </w:r>
      <w:proofErr w:type="spellStart"/>
      <w:r w:rsidR="002F1401">
        <w:t>Mersmann</w:t>
      </w:r>
      <w:proofErr w:type="spellEnd"/>
      <w:r w:rsidR="002F1401">
        <w:t xml:space="preserve"> was fluent in English as appears from the archive documents for the earlier UK-Germany treaty (1954) of which he was the chief negotiator (p 203)</w:t>
      </w:r>
      <w:r w:rsidR="00686B8E">
        <w:t xml:space="preserve"> (TNA IR 40/</w:t>
      </w:r>
      <w:proofErr w:type="spellStart"/>
      <w:r w:rsidR="00686B8E">
        <w:t>9629A</w:t>
      </w:r>
      <w:proofErr w:type="spellEnd"/>
      <w:r w:rsidR="00686B8E">
        <w:t>)</w:t>
      </w:r>
      <w:r w:rsidR="00392704">
        <w:t xml:space="preserve">. </w:t>
      </w:r>
      <w:r w:rsidR="002F1401">
        <w:t xml:space="preserve">In other circumstances they might both have needed to work in French. </w:t>
      </w:r>
      <w:r w:rsidR="00DF5E79">
        <w:t xml:space="preserve">The common law and civil law view of agency is </w:t>
      </w:r>
      <w:r w:rsidR="009F5370">
        <w:t xml:space="preserve">very </w:t>
      </w:r>
      <w:r w:rsidR="00DF5E79">
        <w:t>different</w:t>
      </w:r>
      <w:r w:rsidR="009F5370">
        <w:t xml:space="preserve"> which the delegates </w:t>
      </w:r>
      <w:r w:rsidR="002F1401">
        <w:t xml:space="preserve">cannot </w:t>
      </w:r>
      <w:r w:rsidR="009F5370">
        <w:t>have fully appreciated</w:t>
      </w:r>
      <w:r w:rsidR="00DF5E79">
        <w:t xml:space="preserve">, and to this day there is an example in para 38.7 of the OECD Commentary to art 5 </w:t>
      </w:r>
      <w:r w:rsidR="004C3DA4">
        <w:t xml:space="preserve">that was originally written by </w:t>
      </w:r>
      <w:proofErr w:type="spellStart"/>
      <w:r w:rsidR="004C3DA4">
        <w:t>WP1</w:t>
      </w:r>
      <w:proofErr w:type="spellEnd"/>
      <w:r w:rsidR="004C3DA4">
        <w:t xml:space="preserve"> </w:t>
      </w:r>
      <w:r w:rsidR="00DF5E79">
        <w:t>that makes sense in German</w:t>
      </w:r>
      <w:r w:rsidR="002002F1">
        <w:t xml:space="preserve"> law</w:t>
      </w:r>
      <w:r w:rsidR="00DF5E79">
        <w:t xml:space="preserve"> but not in the UK.</w:t>
      </w:r>
    </w:p>
  </w:footnote>
  <w:footnote w:id="31">
    <w:p w14:paraId="62F65FD3" w14:textId="4E487624" w:rsidR="00F7520A" w:rsidRDefault="00F7520A">
      <w:pPr>
        <w:pStyle w:val="FootnoteText"/>
      </w:pPr>
      <w:r>
        <w:rPr>
          <w:rStyle w:val="FootnoteReference"/>
        </w:rPr>
        <w:footnoteRef/>
      </w:r>
      <w:r>
        <w:t xml:space="preserve"> </w:t>
      </w:r>
      <w:r w:rsidRPr="004030F4">
        <w:rPr>
          <w:lang w:val="en-AU"/>
        </w:rPr>
        <w:t xml:space="preserve">Sweden’s suggestion to move to simultaneous </w:t>
      </w:r>
      <w:r w:rsidR="006258E3">
        <w:rPr>
          <w:lang w:val="en-AU"/>
        </w:rPr>
        <w:t>interpretation</w:t>
      </w:r>
      <w:r w:rsidRPr="004030F4">
        <w:rPr>
          <w:lang w:val="en-AU"/>
        </w:rPr>
        <w:t xml:space="preserve"> in 1962</w:t>
      </w:r>
      <w:r w:rsidRPr="00AB5C81">
        <w:rPr>
          <w:lang w:val="en-AU"/>
        </w:rPr>
        <w:t xml:space="preserve"> was rejected </w:t>
      </w:r>
      <w:r w:rsidRPr="006258E3">
        <w:rPr>
          <w:lang w:val="en-AU"/>
        </w:rPr>
        <w:t>FC/M(62)2 Part I p 1</w:t>
      </w:r>
      <w:r w:rsidR="006258E3" w:rsidRPr="006258E3">
        <w:rPr>
          <w:lang w:val="en-AU"/>
        </w:rPr>
        <w:t>0</w:t>
      </w:r>
      <w:r w:rsidR="004C093A">
        <w:rPr>
          <w:lang w:val="en-AU"/>
        </w:rPr>
        <w:t xml:space="preserve"> (11 April 1962)</w:t>
      </w:r>
      <w:r w:rsidR="006258E3">
        <w:rPr>
          <w:lang w:val="en-AU"/>
        </w:rPr>
        <w:t>.</w:t>
      </w:r>
    </w:p>
  </w:footnote>
  <w:footnote w:id="32">
    <w:p w14:paraId="74383DF8" w14:textId="6909AA54" w:rsidR="00F7520A" w:rsidRDefault="00F7520A">
      <w:pPr>
        <w:pStyle w:val="FootnoteText"/>
      </w:pPr>
      <w:r>
        <w:rPr>
          <w:rStyle w:val="FootnoteReference"/>
        </w:rPr>
        <w:footnoteRef/>
      </w:r>
      <w:r>
        <w:t xml:space="preserve"> H</w:t>
      </w:r>
      <w:proofErr w:type="spellStart"/>
      <w:r w:rsidRPr="004030F4">
        <w:rPr>
          <w:lang w:val="en-AU"/>
        </w:rPr>
        <w:t>e</w:t>
      </w:r>
      <w:proofErr w:type="spellEnd"/>
      <w:r w:rsidRPr="004030F4">
        <w:rPr>
          <w:lang w:val="en-AU"/>
        </w:rPr>
        <w:t xml:space="preserve"> had a UN assignment in 1960 and missed one meeting</w:t>
      </w:r>
      <w:r w:rsidR="00A92DA0">
        <w:rPr>
          <w:lang w:val="en-AU"/>
        </w:rPr>
        <w:t>:</w:t>
      </w:r>
      <w:r w:rsidRPr="004030F4">
        <w:rPr>
          <w:lang w:val="en-AU"/>
        </w:rPr>
        <w:t xml:space="preserve"> FC/M(60)6 p</w:t>
      </w:r>
      <w:r w:rsidR="004C3DA4">
        <w:rPr>
          <w:lang w:val="en-AU"/>
        </w:rPr>
        <w:t>p</w:t>
      </w:r>
      <w:r w:rsidRPr="004030F4">
        <w:rPr>
          <w:lang w:val="en-AU"/>
        </w:rPr>
        <w:t xml:space="preserve"> 2, 10</w:t>
      </w:r>
      <w:r w:rsidR="00951AE7">
        <w:rPr>
          <w:lang w:val="en-AU"/>
        </w:rPr>
        <w:t>,</w:t>
      </w:r>
      <w:r w:rsidR="0008447E">
        <w:rPr>
          <w:lang w:val="en-AU"/>
        </w:rPr>
        <w:t xml:space="preserve"> as well as one meeting in 1956: FC/M(56)2</w:t>
      </w:r>
      <w:r w:rsidR="00951AE7">
        <w:rPr>
          <w:lang w:val="en-AU"/>
        </w:rPr>
        <w:t xml:space="preserve"> pp 1, 3</w:t>
      </w:r>
      <w:r>
        <w:rPr>
          <w:lang w:val="en-AU"/>
        </w:rPr>
        <w:t>.</w:t>
      </w:r>
      <w:r w:rsidRPr="00475248">
        <w:rPr>
          <w:lang w:val="en-AU"/>
        </w:rPr>
        <w:t xml:space="preserve"> </w:t>
      </w:r>
      <w:r w:rsidRPr="004030F4">
        <w:rPr>
          <w:lang w:val="en-AU"/>
        </w:rPr>
        <w:t xml:space="preserve">Switzerland was one of the members of </w:t>
      </w:r>
      <w:proofErr w:type="spellStart"/>
      <w:r w:rsidRPr="004030F4">
        <w:rPr>
          <w:lang w:val="en-AU"/>
        </w:rPr>
        <w:t>WP3</w:t>
      </w:r>
      <w:proofErr w:type="spellEnd"/>
      <w:r w:rsidRPr="004030F4">
        <w:rPr>
          <w:lang w:val="en-AU"/>
        </w:rPr>
        <w:t xml:space="preserve"> on art 2 and </w:t>
      </w:r>
      <w:proofErr w:type="spellStart"/>
      <w:r w:rsidRPr="004030F4">
        <w:rPr>
          <w:lang w:val="en-AU"/>
        </w:rPr>
        <w:t>WP12</w:t>
      </w:r>
      <w:proofErr w:type="spellEnd"/>
      <w:r w:rsidRPr="004030F4">
        <w:rPr>
          <w:lang w:val="en-AU"/>
        </w:rPr>
        <w:t xml:space="preserve"> on art 10 for which Switzerland seems to be the Rapporteur (though whether </w:t>
      </w:r>
      <w:proofErr w:type="spellStart"/>
      <w:r w:rsidRPr="004030F4">
        <w:rPr>
          <w:lang w:val="en-AU"/>
        </w:rPr>
        <w:t>Locher</w:t>
      </w:r>
      <w:proofErr w:type="spellEnd"/>
      <w:r w:rsidRPr="004030F4">
        <w:rPr>
          <w:lang w:val="en-AU"/>
        </w:rPr>
        <w:t xml:space="preserve"> is not clear)</w:t>
      </w:r>
      <w:r w:rsidR="00DF725D">
        <w:rPr>
          <w:lang w:val="en-AU"/>
        </w:rPr>
        <w:t>.</w:t>
      </w:r>
    </w:p>
  </w:footnote>
  <w:footnote w:id="33">
    <w:p w14:paraId="506806A6" w14:textId="55D301EE" w:rsidR="00F7520A" w:rsidRDefault="00F7520A">
      <w:pPr>
        <w:pStyle w:val="FootnoteText"/>
      </w:pPr>
      <w:r>
        <w:rPr>
          <w:rStyle w:val="FootnoteReference"/>
        </w:rPr>
        <w:footnoteRef/>
      </w:r>
      <w:r>
        <w:t xml:space="preserve"> He</w:t>
      </w:r>
      <w:r w:rsidRPr="004030F4">
        <w:rPr>
          <w:lang w:val="en-AU"/>
        </w:rPr>
        <w:t xml:space="preserve"> </w:t>
      </w:r>
      <w:r>
        <w:rPr>
          <w:lang w:val="en-AU"/>
        </w:rPr>
        <w:t xml:space="preserve">also </w:t>
      </w:r>
      <w:r w:rsidRPr="004030F4">
        <w:rPr>
          <w:lang w:val="en-AU"/>
        </w:rPr>
        <w:t xml:space="preserve">did most of the work on arts 8 (one of the most contentious provisions) and 14-20 (as the sole member of </w:t>
      </w:r>
      <w:proofErr w:type="spellStart"/>
      <w:r w:rsidRPr="004030F4">
        <w:rPr>
          <w:lang w:val="en-AU"/>
        </w:rPr>
        <w:t>WP10</w:t>
      </w:r>
      <w:proofErr w:type="spellEnd"/>
      <w:r>
        <w:rPr>
          <w:lang w:val="en-AU"/>
        </w:rPr>
        <w:t>).</w:t>
      </w:r>
    </w:p>
  </w:footnote>
  <w:footnote w:id="34">
    <w:p w14:paraId="2F26B885" w14:textId="651B8049" w:rsidR="005C29CB" w:rsidRDefault="005C29CB">
      <w:pPr>
        <w:pStyle w:val="FootnoteText"/>
      </w:pPr>
      <w:r>
        <w:rPr>
          <w:rStyle w:val="FootnoteReference"/>
        </w:rPr>
        <w:footnoteRef/>
      </w:r>
      <w:r>
        <w:t xml:space="preserve"> </w:t>
      </w:r>
      <w:r w:rsidRPr="005C29CB">
        <w:rPr>
          <w:lang w:val="en-AU"/>
        </w:rPr>
        <w:t>FC/M(58)1</w:t>
      </w:r>
      <w:r>
        <w:rPr>
          <w:lang w:val="en-AU"/>
        </w:rPr>
        <w:t xml:space="preserve"> </w:t>
      </w:r>
      <w:r w:rsidR="00B06F6E">
        <w:rPr>
          <w:lang w:val="en-AU"/>
        </w:rPr>
        <w:t>(6 January 1958)</w:t>
      </w:r>
      <w:r>
        <w:rPr>
          <w:lang w:val="en-AU"/>
        </w:rPr>
        <w:t xml:space="preserve"> p 8. There is an earlier reference in those minutes </w:t>
      </w:r>
      <w:r w:rsidR="00E85F0B">
        <w:rPr>
          <w:lang w:val="en-AU"/>
        </w:rPr>
        <w:t>by way of</w:t>
      </w:r>
      <w:r w:rsidRPr="005C29CB">
        <w:rPr>
          <w:lang w:val="en-AU"/>
        </w:rPr>
        <w:t xml:space="preserve"> correction </w:t>
      </w:r>
      <w:r w:rsidR="00317ABA">
        <w:rPr>
          <w:lang w:val="en-AU"/>
        </w:rPr>
        <w:t>to</w:t>
      </w:r>
      <w:r w:rsidRPr="005C29CB">
        <w:rPr>
          <w:lang w:val="en-AU"/>
        </w:rPr>
        <w:t xml:space="preserve"> the minutes </w:t>
      </w:r>
      <w:r w:rsidR="00CA61E8">
        <w:rPr>
          <w:lang w:val="en-AU"/>
        </w:rPr>
        <w:t>at</w:t>
      </w:r>
      <w:r w:rsidRPr="005C29CB">
        <w:rPr>
          <w:lang w:val="en-AU"/>
        </w:rPr>
        <w:t xml:space="preserve"> the next </w:t>
      </w:r>
      <w:r w:rsidR="00CA61E8">
        <w:rPr>
          <w:lang w:val="en-AU"/>
        </w:rPr>
        <w:t xml:space="preserve">FC </w:t>
      </w:r>
      <w:r w:rsidRPr="005C29CB">
        <w:rPr>
          <w:lang w:val="en-AU"/>
        </w:rPr>
        <w:t>meeting</w:t>
      </w:r>
      <w:r w:rsidR="00B06F6E">
        <w:rPr>
          <w:lang w:val="en-AU"/>
        </w:rPr>
        <w:t>:</w:t>
      </w:r>
      <w:r>
        <w:rPr>
          <w:lang w:val="en-AU"/>
        </w:rPr>
        <w:t xml:space="preserve"> ‘</w:t>
      </w:r>
      <w:r w:rsidRPr="005C29CB">
        <w:rPr>
          <w:lang w:val="en-AU"/>
        </w:rPr>
        <w:t>The Chairman, in reply to the Delegate for Austria, stated that the presentation of the various draft Articles would be co-ordinated later by a Drafting Group</w:t>
      </w:r>
      <w:r>
        <w:rPr>
          <w:lang w:val="en-AU"/>
        </w:rPr>
        <w:t>.’</w:t>
      </w:r>
      <w:r w:rsidRPr="005C29CB">
        <w:rPr>
          <w:lang w:val="en-AU"/>
        </w:rPr>
        <w:t xml:space="preserve"> </w:t>
      </w:r>
      <w:r w:rsidRPr="004030F4">
        <w:rPr>
          <w:lang w:val="en-AU"/>
        </w:rPr>
        <w:t xml:space="preserve">FC/M(58)2 </w:t>
      </w:r>
      <w:r>
        <w:rPr>
          <w:lang w:val="en-AU"/>
        </w:rPr>
        <w:t>(</w:t>
      </w:r>
      <w:r w:rsidRPr="004030F4">
        <w:rPr>
          <w:lang w:val="en-AU"/>
        </w:rPr>
        <w:t>29</w:t>
      </w:r>
      <w:r>
        <w:rPr>
          <w:lang w:val="en-AU"/>
        </w:rPr>
        <w:t xml:space="preserve"> March 1958)</w:t>
      </w:r>
      <w:r w:rsidRPr="004030F4">
        <w:rPr>
          <w:lang w:val="en-AU"/>
        </w:rPr>
        <w:t xml:space="preserve"> p 2</w:t>
      </w:r>
      <w:r>
        <w:rPr>
          <w:lang w:val="en-AU"/>
        </w:rPr>
        <w:t>.</w:t>
      </w:r>
      <w:r w:rsidR="00CA61E8">
        <w:rPr>
          <w:lang w:val="en-AU"/>
        </w:rPr>
        <w:t xml:space="preserve"> The reference here is to a comment by Sweden in a note on the aims of the FC: TFD/</w:t>
      </w:r>
      <w:proofErr w:type="spellStart"/>
      <w:r w:rsidR="00CA61E8">
        <w:rPr>
          <w:lang w:val="en-AU"/>
        </w:rPr>
        <w:t>FC22</w:t>
      </w:r>
      <w:proofErr w:type="spellEnd"/>
      <w:r w:rsidR="00CA61E8">
        <w:rPr>
          <w:lang w:val="en-AU"/>
        </w:rPr>
        <w:t xml:space="preserve"> (18 September 1957) pp 2-3.</w:t>
      </w:r>
    </w:p>
  </w:footnote>
  <w:footnote w:id="35">
    <w:p w14:paraId="75B42C8A" w14:textId="2C876970" w:rsidR="005C29CB" w:rsidRDefault="005C29CB" w:rsidP="005C29CB">
      <w:pPr>
        <w:pStyle w:val="FootnoteText"/>
      </w:pPr>
      <w:r>
        <w:rPr>
          <w:rStyle w:val="FootnoteReference"/>
        </w:rPr>
        <w:footnoteRef/>
      </w:r>
      <w:r>
        <w:t xml:space="preserve"> Third Report FC/M(60)2 (28 April 1960) p 16-17 (comprising the Chairman [</w:t>
      </w:r>
      <w:proofErr w:type="spellStart"/>
      <w:r>
        <w:t>Locher</w:t>
      </w:r>
      <w:proofErr w:type="spellEnd"/>
      <w:r>
        <w:t>],</w:t>
      </w:r>
      <w:r w:rsidRPr="004031F8">
        <w:rPr>
          <w:sz w:val="24"/>
          <w:szCs w:val="24"/>
          <w:lang w:val="en-AU" w:eastAsia="en-AU"/>
        </w:rPr>
        <w:t xml:space="preserve"> </w:t>
      </w:r>
      <w:r w:rsidRPr="004031F8">
        <w:rPr>
          <w:lang w:val="en-AU"/>
        </w:rPr>
        <w:t xml:space="preserve">the two Vice-Chairmen [Serre </w:t>
      </w:r>
      <w:r w:rsidR="00020299">
        <w:rPr>
          <w:lang w:val="en-AU"/>
        </w:rPr>
        <w:t>(</w:t>
      </w:r>
      <w:r w:rsidRPr="004031F8">
        <w:rPr>
          <w:lang w:val="en-AU"/>
        </w:rPr>
        <w:t>France</w:t>
      </w:r>
      <w:r w:rsidR="00020299">
        <w:rPr>
          <w:lang w:val="en-AU"/>
        </w:rPr>
        <w:t>)</w:t>
      </w:r>
      <w:r w:rsidRPr="004031F8">
        <w:rPr>
          <w:lang w:val="en-AU"/>
        </w:rPr>
        <w:t xml:space="preserve"> and </w:t>
      </w:r>
      <w:proofErr w:type="spellStart"/>
      <w:r w:rsidR="00E147F4">
        <w:rPr>
          <w:lang w:val="en-AU"/>
        </w:rPr>
        <w:t>Ö</w:t>
      </w:r>
      <w:r w:rsidRPr="004031F8">
        <w:rPr>
          <w:lang w:val="en-AU"/>
        </w:rPr>
        <w:t>hman</w:t>
      </w:r>
      <w:proofErr w:type="spellEnd"/>
      <w:r w:rsidRPr="004031F8">
        <w:rPr>
          <w:lang w:val="en-AU"/>
        </w:rPr>
        <w:t xml:space="preserve"> </w:t>
      </w:r>
      <w:r w:rsidR="00020299">
        <w:rPr>
          <w:lang w:val="en-AU"/>
        </w:rPr>
        <w:t>(</w:t>
      </w:r>
      <w:r w:rsidRPr="004031F8">
        <w:rPr>
          <w:lang w:val="en-AU"/>
        </w:rPr>
        <w:t>Sweden</w:t>
      </w:r>
      <w:r w:rsidR="00020299">
        <w:rPr>
          <w:lang w:val="en-AU"/>
        </w:rPr>
        <w:t>)</w:t>
      </w:r>
      <w:r w:rsidRPr="004031F8">
        <w:rPr>
          <w:lang w:val="en-AU"/>
        </w:rPr>
        <w:t xml:space="preserve"> who had been Deputy Chairs from the beginning of the FC and continued through to 1962 when </w:t>
      </w:r>
      <w:proofErr w:type="spellStart"/>
      <w:r w:rsidRPr="004031F8">
        <w:rPr>
          <w:lang w:val="en-AU"/>
        </w:rPr>
        <w:t>Lebouef</w:t>
      </w:r>
      <w:proofErr w:type="spellEnd"/>
      <w:r w:rsidRPr="004031F8">
        <w:rPr>
          <w:lang w:val="en-AU"/>
        </w:rPr>
        <w:t xml:space="preserve"> from France replaced Serre </w:t>
      </w:r>
      <w:r w:rsidR="00317ABA">
        <w:rPr>
          <w:lang w:val="en-AU"/>
        </w:rPr>
        <w:t>(</w:t>
      </w:r>
      <w:r w:rsidRPr="004031F8">
        <w:rPr>
          <w:lang w:val="en-AU"/>
        </w:rPr>
        <w:t>FC/M(62)2 Part I page 2 under item I</w:t>
      </w:r>
      <w:r w:rsidR="00317ABA">
        <w:rPr>
          <w:lang w:val="en-AU"/>
        </w:rPr>
        <w:t>)</w:t>
      </w:r>
      <w:r w:rsidRPr="004031F8">
        <w:rPr>
          <w:lang w:val="en-AU"/>
        </w:rPr>
        <w:t xml:space="preserve"> but </w:t>
      </w:r>
      <w:proofErr w:type="spellStart"/>
      <w:r w:rsidR="00E147F4">
        <w:rPr>
          <w:lang w:val="en-AU"/>
        </w:rPr>
        <w:t>Ö</w:t>
      </w:r>
      <w:r w:rsidRPr="004031F8">
        <w:rPr>
          <w:lang w:val="en-AU"/>
        </w:rPr>
        <w:t>hman</w:t>
      </w:r>
      <w:proofErr w:type="spellEnd"/>
      <w:r w:rsidRPr="004031F8">
        <w:rPr>
          <w:lang w:val="en-AU"/>
        </w:rPr>
        <w:t xml:space="preserve"> and </w:t>
      </w:r>
      <w:proofErr w:type="spellStart"/>
      <w:r w:rsidRPr="004031F8">
        <w:rPr>
          <w:lang w:val="en-AU"/>
        </w:rPr>
        <w:t>Locher</w:t>
      </w:r>
      <w:proofErr w:type="spellEnd"/>
      <w:r w:rsidRPr="004031F8">
        <w:rPr>
          <w:lang w:val="en-AU"/>
        </w:rPr>
        <w:t xml:space="preserve"> continued] and the Delegates for Germany and the United Kingdom.</w:t>
      </w:r>
    </w:p>
  </w:footnote>
  <w:footnote w:id="36">
    <w:p w14:paraId="2123102C" w14:textId="672A9896" w:rsidR="005C29CB" w:rsidRDefault="005C29CB" w:rsidP="005C29CB">
      <w:pPr>
        <w:pStyle w:val="FootnoteText"/>
      </w:pPr>
      <w:r>
        <w:rPr>
          <w:rStyle w:val="FootnoteReference"/>
        </w:rPr>
        <w:footnoteRef/>
      </w:r>
      <w:r>
        <w:t xml:space="preserve"> FC/M(61)4 (8 July 1961) p 4.</w:t>
      </w:r>
      <w:r w:rsidRPr="00280664">
        <w:rPr>
          <w:lang w:val="en-AU"/>
        </w:rPr>
        <w:t xml:space="preserve"> </w:t>
      </w:r>
      <w:r>
        <w:rPr>
          <w:lang w:val="en-AU"/>
        </w:rPr>
        <w:t>T</w:t>
      </w:r>
      <w:r w:rsidRPr="00531A9A">
        <w:rPr>
          <w:lang w:val="en-AU"/>
        </w:rPr>
        <w:t xml:space="preserve">his indicates that the Vice-chairs had not been part of the Group (apart from the third report when </w:t>
      </w:r>
      <w:proofErr w:type="spellStart"/>
      <w:r w:rsidRPr="00531A9A">
        <w:rPr>
          <w:lang w:val="en-AU"/>
        </w:rPr>
        <w:t>Locher</w:t>
      </w:r>
      <w:proofErr w:type="spellEnd"/>
      <w:r w:rsidRPr="00531A9A">
        <w:rPr>
          <w:lang w:val="en-AU"/>
        </w:rPr>
        <w:t xml:space="preserve"> was Acting Chair</w:t>
      </w:r>
      <w:r>
        <w:rPr>
          <w:lang w:val="en-AU"/>
        </w:rPr>
        <w:t xml:space="preserve">, see n </w:t>
      </w:r>
      <w:r>
        <w:rPr>
          <w:lang w:val="en-AU"/>
        </w:rPr>
        <w:fldChar w:fldCharType="begin"/>
      </w:r>
      <w:r>
        <w:rPr>
          <w:lang w:val="en-AU"/>
        </w:rPr>
        <w:instrText xml:space="preserve"> NOTEREF _Ref66434123 \h </w:instrText>
      </w:r>
      <w:r>
        <w:rPr>
          <w:lang w:val="en-AU"/>
        </w:rPr>
      </w:r>
      <w:r>
        <w:rPr>
          <w:lang w:val="en-AU"/>
        </w:rPr>
        <w:fldChar w:fldCharType="separate"/>
      </w:r>
      <w:r w:rsidR="001C0502">
        <w:rPr>
          <w:lang w:val="en-AU"/>
        </w:rPr>
        <w:t>35</w:t>
      </w:r>
      <w:r>
        <w:rPr>
          <w:lang w:val="en-AU"/>
        </w:rPr>
        <w:fldChar w:fldCharType="end"/>
      </w:r>
      <w:r w:rsidRPr="00531A9A">
        <w:rPr>
          <w:lang w:val="en-AU"/>
        </w:rPr>
        <w:t>) and in not mentioning the other Vice-chair from France that France had been a member throughout along with Germany and the UK</w:t>
      </w:r>
      <w:r>
        <w:rPr>
          <w:lang w:val="en-AU"/>
        </w:rPr>
        <w:t>.</w:t>
      </w:r>
      <w:r w:rsidR="00F55C19">
        <w:rPr>
          <w:lang w:val="en-AU"/>
        </w:rPr>
        <w:t xml:space="preserve"> It may have been thought that the previous report making this change (see previous note) was intended to apply only while van den Temple was away through illness. </w:t>
      </w:r>
    </w:p>
  </w:footnote>
  <w:footnote w:id="37">
    <w:p w14:paraId="1803156C" w14:textId="46E13AC3" w:rsidR="005C29CB" w:rsidRDefault="005C29CB" w:rsidP="005C29CB">
      <w:pPr>
        <w:pStyle w:val="FootnoteText"/>
      </w:pPr>
      <w:r>
        <w:rPr>
          <w:rStyle w:val="FootnoteReference"/>
        </w:rPr>
        <w:footnoteRef/>
      </w:r>
      <w:r>
        <w:t xml:space="preserve"> </w:t>
      </w:r>
      <w:r w:rsidRPr="004030F4">
        <w:rPr>
          <w:lang w:val="en-AU"/>
        </w:rPr>
        <w:t>TFD/FC</w:t>
      </w:r>
      <w:r w:rsidR="004120F8">
        <w:rPr>
          <w:lang w:val="en-AU"/>
        </w:rPr>
        <w:t>/</w:t>
      </w:r>
      <w:proofErr w:type="spellStart"/>
      <w:r w:rsidRPr="004030F4">
        <w:rPr>
          <w:lang w:val="en-AU"/>
        </w:rPr>
        <w:t>32rev</w:t>
      </w:r>
      <w:proofErr w:type="spellEnd"/>
      <w:r w:rsidR="004120F8">
        <w:rPr>
          <w:lang w:val="en-AU"/>
        </w:rPr>
        <w:t xml:space="preserve"> </w:t>
      </w:r>
      <w:r w:rsidR="004120F8" w:rsidRPr="004120F8">
        <w:t>(10 March 1958)</w:t>
      </w:r>
      <w:r w:rsidRPr="004030F4">
        <w:rPr>
          <w:lang w:val="en-AU"/>
        </w:rPr>
        <w:t>, TFD/FC</w:t>
      </w:r>
      <w:r w:rsidR="004120F8">
        <w:rPr>
          <w:lang w:val="en-AU"/>
        </w:rPr>
        <w:t>/</w:t>
      </w:r>
      <w:r w:rsidRPr="004030F4">
        <w:rPr>
          <w:lang w:val="en-AU"/>
        </w:rPr>
        <w:t>62</w:t>
      </w:r>
      <w:r>
        <w:rPr>
          <w:lang w:val="en-AU"/>
        </w:rPr>
        <w:t>,</w:t>
      </w:r>
      <w:r w:rsidRPr="004030F4">
        <w:rPr>
          <w:lang w:val="en-AU"/>
        </w:rPr>
        <w:t xml:space="preserve"> TFD/FC</w:t>
      </w:r>
      <w:r w:rsidR="004120F8">
        <w:rPr>
          <w:lang w:val="en-AU"/>
        </w:rPr>
        <w:t>/</w:t>
      </w:r>
      <w:r w:rsidRPr="004030F4">
        <w:rPr>
          <w:lang w:val="en-AU"/>
        </w:rPr>
        <w:t xml:space="preserve">63 </w:t>
      </w:r>
      <w:r>
        <w:rPr>
          <w:lang w:val="en-AU"/>
        </w:rPr>
        <w:t>and TDF/FC/64</w:t>
      </w:r>
      <w:r w:rsidR="004120F8">
        <w:rPr>
          <w:lang w:val="en-AU"/>
        </w:rPr>
        <w:t xml:space="preserve"> (all 11 April 1959)</w:t>
      </w:r>
      <w:r>
        <w:rPr>
          <w:lang w:val="en-AU"/>
        </w:rPr>
        <w:t>.</w:t>
      </w:r>
      <w:r w:rsidR="00020299">
        <w:rPr>
          <w:lang w:val="en-AU"/>
        </w:rPr>
        <w:t xml:space="preserve"> Also </w:t>
      </w:r>
      <w:r w:rsidR="00020299" w:rsidRPr="00020299">
        <w:rPr>
          <w:lang w:val="en-AU"/>
        </w:rPr>
        <w:t>TFD/FC/</w:t>
      </w:r>
      <w:proofErr w:type="spellStart"/>
      <w:r w:rsidR="00020299" w:rsidRPr="00020299">
        <w:rPr>
          <w:lang w:val="en-AU"/>
        </w:rPr>
        <w:t>63</w:t>
      </w:r>
      <w:r w:rsidR="00020299">
        <w:rPr>
          <w:lang w:val="en-AU"/>
        </w:rPr>
        <w:t>rev1</w:t>
      </w:r>
      <w:proofErr w:type="spellEnd"/>
      <w:r w:rsidR="00020299">
        <w:rPr>
          <w:lang w:val="en-AU"/>
        </w:rPr>
        <w:t xml:space="preserve"> (21 April 1959), </w:t>
      </w:r>
      <w:r w:rsidR="00020299" w:rsidRPr="00020299">
        <w:rPr>
          <w:lang w:val="en-AU"/>
        </w:rPr>
        <w:t>TDF/FC/</w:t>
      </w:r>
      <w:proofErr w:type="spellStart"/>
      <w:r w:rsidR="00020299" w:rsidRPr="00020299">
        <w:rPr>
          <w:lang w:val="en-AU"/>
        </w:rPr>
        <w:t>64</w:t>
      </w:r>
      <w:r w:rsidR="00020299">
        <w:rPr>
          <w:lang w:val="en-AU"/>
        </w:rPr>
        <w:t>rev1</w:t>
      </w:r>
      <w:proofErr w:type="spellEnd"/>
      <w:r w:rsidR="00020299">
        <w:rPr>
          <w:lang w:val="en-AU"/>
        </w:rPr>
        <w:t xml:space="preserve"> (5 May 1959)</w:t>
      </w:r>
      <w:r w:rsidR="000D3CE2">
        <w:rPr>
          <w:lang w:val="en-AU"/>
        </w:rPr>
        <w:t xml:space="preserve"> (</w:t>
      </w:r>
      <w:r w:rsidR="002D284A">
        <w:rPr>
          <w:lang w:val="en-AU"/>
        </w:rPr>
        <w:t>draft Report</w:t>
      </w:r>
      <w:r w:rsidR="000D3CE2">
        <w:rPr>
          <w:lang w:val="en-AU"/>
        </w:rPr>
        <w:t xml:space="preserve"> </w:t>
      </w:r>
      <w:r w:rsidR="006E4BAD" w:rsidRPr="000D3CE2">
        <w:rPr>
          <w:lang w:val="en-AU"/>
        </w:rPr>
        <w:t>FC(59)2 (21 May 1959)</w:t>
      </w:r>
      <w:r w:rsidR="000D3CE2">
        <w:rPr>
          <w:lang w:val="en-AU"/>
        </w:rPr>
        <w:t>)</w:t>
      </w:r>
    </w:p>
  </w:footnote>
  <w:footnote w:id="38">
    <w:p w14:paraId="1C1D937C" w14:textId="77777777" w:rsidR="005C29CB" w:rsidRDefault="005C29CB" w:rsidP="005C29CB">
      <w:pPr>
        <w:pStyle w:val="FootnoteText"/>
      </w:pPr>
      <w:r>
        <w:rPr>
          <w:rStyle w:val="FootnoteReference"/>
        </w:rPr>
        <w:footnoteRef/>
      </w:r>
      <w:r>
        <w:t xml:space="preserve"> Originally</w:t>
      </w:r>
      <w:r w:rsidRPr="00391DE9">
        <w:rPr>
          <w:sz w:val="24"/>
          <w:szCs w:val="24"/>
          <w:lang w:val="en-AU" w:eastAsia="en-AU"/>
        </w:rPr>
        <w:t xml:space="preserve"> </w:t>
      </w:r>
      <w:r w:rsidRPr="007B2871">
        <w:rPr>
          <w:lang w:val="en-AU" w:eastAsia="en-AU"/>
        </w:rPr>
        <w:t>contained in</w:t>
      </w:r>
      <w:r>
        <w:rPr>
          <w:sz w:val="24"/>
          <w:szCs w:val="24"/>
          <w:lang w:val="en-AU" w:eastAsia="en-AU"/>
        </w:rPr>
        <w:t xml:space="preserve"> </w:t>
      </w:r>
      <w:r w:rsidRPr="00391DE9">
        <w:rPr>
          <w:lang w:val="en-AU"/>
        </w:rPr>
        <w:t xml:space="preserve">FC(60)1 </w:t>
      </w:r>
      <w:r>
        <w:rPr>
          <w:lang w:val="en-AU"/>
        </w:rPr>
        <w:t>(14 March 1960), Chairman’s amendments</w:t>
      </w:r>
      <w:r>
        <w:t xml:space="preserve"> TDF/FC/</w:t>
      </w:r>
      <w:proofErr w:type="spellStart"/>
      <w:r>
        <w:t>87bis</w:t>
      </w:r>
      <w:proofErr w:type="spellEnd"/>
      <w:r>
        <w:t xml:space="preserve"> (29 March 1960), </w:t>
      </w:r>
      <w:r w:rsidRPr="00391DE9">
        <w:rPr>
          <w:lang w:val="en-AU"/>
        </w:rPr>
        <w:t xml:space="preserve">adopted in the March FC meeting with minor amendments FC/M(60)2 </w:t>
      </w:r>
      <w:r>
        <w:rPr>
          <w:lang w:val="en-AU"/>
        </w:rPr>
        <w:t xml:space="preserve">(28 April 1960)) </w:t>
      </w:r>
      <w:r w:rsidRPr="00391DE9">
        <w:rPr>
          <w:lang w:val="en-AU"/>
        </w:rPr>
        <w:t>p</w:t>
      </w:r>
      <w:r>
        <w:rPr>
          <w:lang w:val="en-AU"/>
        </w:rPr>
        <w:t xml:space="preserve"> </w:t>
      </w:r>
      <w:r w:rsidRPr="00391DE9">
        <w:rPr>
          <w:lang w:val="en-AU"/>
        </w:rPr>
        <w:t>17</w:t>
      </w:r>
      <w:r>
        <w:rPr>
          <w:lang w:val="en-AU"/>
        </w:rPr>
        <w:t xml:space="preserve">, document for review by the drafting group </w:t>
      </w:r>
      <w:r w:rsidRPr="00391DE9">
        <w:rPr>
          <w:lang w:val="en-AU"/>
        </w:rPr>
        <w:t>TFD/FC/89</w:t>
      </w:r>
      <w:r>
        <w:rPr>
          <w:lang w:val="en-AU"/>
        </w:rPr>
        <w:t xml:space="preserve"> [not on the website but summary contained in TEF/FC/</w:t>
      </w:r>
      <w:proofErr w:type="spellStart"/>
      <w:r>
        <w:rPr>
          <w:lang w:val="en-AU"/>
        </w:rPr>
        <w:t>89corr</w:t>
      </w:r>
      <w:proofErr w:type="spellEnd"/>
      <w:r>
        <w:rPr>
          <w:lang w:val="en-AU"/>
        </w:rPr>
        <w:t xml:space="preserve"> (26 April 1960) and TEF/FC/</w:t>
      </w:r>
      <w:proofErr w:type="spellStart"/>
      <w:r>
        <w:rPr>
          <w:lang w:val="en-AU"/>
        </w:rPr>
        <w:t>89corrbis</w:t>
      </w:r>
      <w:proofErr w:type="spellEnd"/>
      <w:r>
        <w:rPr>
          <w:lang w:val="en-AU"/>
        </w:rPr>
        <w:t xml:space="preserve"> (10 May 1960)], draft Recommendation to the Council by the Drafting Group TEF/FC/92 (9 May 1960), adopted FC/M(60)4 (20 July 1960) p 4.</w:t>
      </w:r>
    </w:p>
  </w:footnote>
  <w:footnote w:id="39">
    <w:p w14:paraId="25001F6D" w14:textId="77777777" w:rsidR="0079586B" w:rsidRDefault="0079586B" w:rsidP="0079586B">
      <w:pPr>
        <w:pStyle w:val="FootnoteText"/>
      </w:pPr>
      <w:r>
        <w:rPr>
          <w:rStyle w:val="FootnoteReference"/>
        </w:rPr>
        <w:footnoteRef/>
      </w:r>
      <w:r>
        <w:t xml:space="preserve"> Considered </w:t>
      </w:r>
      <w:r>
        <w:rPr>
          <w:lang w:val="en-AU"/>
        </w:rPr>
        <w:t xml:space="preserve">by the FC FC/M(61)1 (17 February 1961), </w:t>
      </w:r>
      <w:r>
        <w:t xml:space="preserve">Original drafts </w:t>
      </w:r>
      <w:r w:rsidRPr="0049152C">
        <w:rPr>
          <w:lang w:val="en-AU"/>
        </w:rPr>
        <w:t>TFD/FC/126</w:t>
      </w:r>
      <w:r>
        <w:rPr>
          <w:lang w:val="en-AU"/>
        </w:rPr>
        <w:t xml:space="preserve"> (6 May 1961) (Report)</w:t>
      </w:r>
      <w:r w:rsidRPr="0049152C">
        <w:rPr>
          <w:lang w:val="en-AU"/>
        </w:rPr>
        <w:t>, TFD/FC/</w:t>
      </w:r>
      <w:proofErr w:type="spellStart"/>
      <w:r w:rsidRPr="0049152C">
        <w:rPr>
          <w:lang w:val="en-AU"/>
        </w:rPr>
        <w:t>126Ann</w:t>
      </w:r>
      <w:proofErr w:type="spellEnd"/>
      <w:r>
        <w:rPr>
          <w:lang w:val="en-AU"/>
        </w:rPr>
        <w:t xml:space="preserve"> (4 May 1961) (articles 10, 11, 12, 23, 25 and Commentaries), draft Report to the Council FC(61) and FC(61)</w:t>
      </w:r>
      <w:proofErr w:type="spellStart"/>
      <w:r>
        <w:rPr>
          <w:lang w:val="en-AU"/>
        </w:rPr>
        <w:t>1ann</w:t>
      </w:r>
      <w:proofErr w:type="spellEnd"/>
      <w:r>
        <w:rPr>
          <w:lang w:val="en-AU"/>
        </w:rPr>
        <w:t xml:space="preserve"> (both 23 May 1961), amendment to art 23 TDF/FC/127 (7 June 1961) and TDF/FC/128 (8 June 1961), amendments to Commentaries TDF/FC/129 (8 June 1962) including</w:t>
      </w:r>
      <w:r w:rsidRPr="0049152C">
        <w:rPr>
          <w:lang w:val="en-AU"/>
        </w:rPr>
        <w:t xml:space="preserve"> further changes to drafting on the much debated issue of rejection of force of attraction in relation to the PE exception to arts 10-12</w:t>
      </w:r>
      <w:r>
        <w:rPr>
          <w:lang w:val="en-AU"/>
        </w:rPr>
        <w:t>, considered by the FC FC/M(61)4 (8 July 1961).</w:t>
      </w:r>
    </w:p>
  </w:footnote>
  <w:footnote w:id="40">
    <w:p w14:paraId="10C252AC" w14:textId="77777777" w:rsidR="0079586B" w:rsidRDefault="0079586B" w:rsidP="0079586B">
      <w:pPr>
        <w:pStyle w:val="FootnoteText"/>
      </w:pPr>
      <w:r>
        <w:rPr>
          <w:rStyle w:val="FootnoteReference"/>
        </w:rPr>
        <w:footnoteRef/>
      </w:r>
      <w:r>
        <w:t xml:space="preserve"> FC/M(60)6 (23 December 1960) p 10, FC/M(61)3 (25 May 1961) p 7-8.</w:t>
      </w:r>
    </w:p>
  </w:footnote>
  <w:footnote w:id="41">
    <w:p w14:paraId="09EA3B32" w14:textId="77777777" w:rsidR="0079586B" w:rsidRDefault="0079586B" w:rsidP="0079586B">
      <w:pPr>
        <w:pStyle w:val="FootnoteText"/>
      </w:pPr>
      <w:r>
        <w:rPr>
          <w:rStyle w:val="FootnoteReference"/>
        </w:rPr>
        <w:footnoteRef/>
      </w:r>
      <w:r>
        <w:t xml:space="preserve"> </w:t>
      </w:r>
      <w:r w:rsidRPr="0049152C">
        <w:rPr>
          <w:lang w:val="en-AU"/>
        </w:rPr>
        <w:t xml:space="preserve">See </w:t>
      </w:r>
      <w:r>
        <w:rPr>
          <w:lang w:val="en-AU"/>
        </w:rPr>
        <w:t xml:space="preserve">amendments in </w:t>
      </w:r>
      <w:r w:rsidRPr="0049152C">
        <w:rPr>
          <w:lang w:val="en-AU"/>
        </w:rPr>
        <w:t xml:space="preserve">TFD/FC/128 </w:t>
      </w:r>
      <w:r>
        <w:rPr>
          <w:lang w:val="en-AU"/>
        </w:rPr>
        <w:t xml:space="preserve">(8 June 1961) </w:t>
      </w:r>
      <w:r w:rsidRPr="0049152C">
        <w:rPr>
          <w:lang w:val="en-AU"/>
        </w:rPr>
        <w:t>compared to F</w:t>
      </w:r>
      <w:r>
        <w:rPr>
          <w:lang w:val="en-AU"/>
        </w:rPr>
        <w:t>C</w:t>
      </w:r>
      <w:r w:rsidRPr="0049152C">
        <w:rPr>
          <w:lang w:val="en-AU"/>
        </w:rPr>
        <w:t>(61)1</w:t>
      </w:r>
      <w:r>
        <w:rPr>
          <w:lang w:val="en-AU"/>
        </w:rPr>
        <w:t xml:space="preserve"> (</w:t>
      </w:r>
      <w:r w:rsidRPr="001D55EA">
        <w:rPr>
          <w:lang w:val="en-AU"/>
        </w:rPr>
        <w:t>23 May 1961</w:t>
      </w:r>
      <w:r>
        <w:rPr>
          <w:lang w:val="en-AU"/>
        </w:rPr>
        <w:t>)</w:t>
      </w:r>
      <w:r w:rsidRPr="0049152C">
        <w:rPr>
          <w:lang w:val="en-AU"/>
        </w:rPr>
        <w:t>.</w:t>
      </w:r>
    </w:p>
  </w:footnote>
  <w:footnote w:id="42">
    <w:p w14:paraId="667A38D1" w14:textId="7BAD4829" w:rsidR="007C0AC8" w:rsidRDefault="007C0AC8" w:rsidP="007C0AC8">
      <w:pPr>
        <w:pStyle w:val="FootnoteText"/>
      </w:pPr>
      <w:r>
        <w:rPr>
          <w:rStyle w:val="FootnoteReference"/>
        </w:rPr>
        <w:footnoteRef/>
      </w:r>
      <w:r>
        <w:t xml:space="preserve"> </w:t>
      </w:r>
      <w:r w:rsidR="000C1296">
        <w:t xml:space="preserve">Independent personal services, employment, entertainers, government service articles. </w:t>
      </w:r>
      <w:r>
        <w:t>TDF/FC/62 (11 April 1959); the Drafting Committee had noted the point earlier in TDF/FC/</w:t>
      </w:r>
      <w:proofErr w:type="spellStart"/>
      <w:r>
        <w:t>32rev</w:t>
      </w:r>
      <w:proofErr w:type="spellEnd"/>
      <w:r>
        <w:t xml:space="preserve"> (10 March 1958)</w:t>
      </w:r>
      <w:r w:rsidR="00FF0E26">
        <w:t>.</w:t>
      </w:r>
      <w:r>
        <w:t xml:space="preserve"> </w:t>
      </w:r>
    </w:p>
  </w:footnote>
  <w:footnote w:id="43">
    <w:p w14:paraId="1E10D2F7" w14:textId="59BE4BD8" w:rsidR="007C0AC8" w:rsidRDefault="007C0AC8" w:rsidP="007C0AC8">
      <w:pPr>
        <w:pStyle w:val="FootnoteText"/>
      </w:pPr>
      <w:r>
        <w:rPr>
          <w:rStyle w:val="FootnoteReference"/>
        </w:rPr>
        <w:footnoteRef/>
      </w:r>
      <w:r>
        <w:t xml:space="preserve"> At the time art 16 referred only to the residence of the company, not the director. This was changed </w:t>
      </w:r>
      <w:r w:rsidR="00172C1A">
        <w:t>in TFD/FC/</w:t>
      </w:r>
      <w:proofErr w:type="spellStart"/>
      <w:r w:rsidR="00172C1A">
        <w:t>63rev1</w:t>
      </w:r>
      <w:proofErr w:type="spellEnd"/>
      <w:r w:rsidR="00172C1A">
        <w:t xml:space="preserve"> (21 April 1959).</w:t>
      </w:r>
    </w:p>
  </w:footnote>
  <w:footnote w:id="44">
    <w:p w14:paraId="784AE1FB" w14:textId="455419AE" w:rsidR="00C15491" w:rsidRDefault="00C15491">
      <w:pPr>
        <w:pStyle w:val="FootnoteText"/>
      </w:pPr>
      <w:r>
        <w:rPr>
          <w:rStyle w:val="FootnoteReference"/>
        </w:rPr>
        <w:footnoteRef/>
      </w:r>
      <w:r>
        <w:t xml:space="preserve"> This had not been done by the draft in FC(58)7 (30 December 1958) and was not mentioned when the FC discussed it in FC/M(59)1 (28 February 1959). The first reference to the residence of the individual </w:t>
      </w:r>
      <w:r w:rsidR="00FE15AB">
        <w:t xml:space="preserve">in art 16 </w:t>
      </w:r>
      <w:r>
        <w:t xml:space="preserve">is in the draft </w:t>
      </w:r>
      <w:r w:rsidR="00FE15AB">
        <w:t xml:space="preserve">of the </w:t>
      </w:r>
      <w:r>
        <w:t>Second Report prepared by the Drafting Committee FC(59)2 (21 May 1959) so the change must have been made by the Drafting Committee.</w:t>
      </w:r>
    </w:p>
  </w:footnote>
  <w:footnote w:id="45">
    <w:p w14:paraId="531097F6" w14:textId="1094A49B" w:rsidR="0086551C" w:rsidRDefault="0086551C">
      <w:pPr>
        <w:pStyle w:val="FootnoteText"/>
      </w:pPr>
      <w:r>
        <w:rPr>
          <w:rStyle w:val="FootnoteReference"/>
        </w:rPr>
        <w:footnoteRef/>
      </w:r>
      <w:r>
        <w:t xml:space="preserve"> See </w:t>
      </w:r>
      <w:proofErr w:type="spellStart"/>
      <w:r>
        <w:t>n</w:t>
      </w:r>
      <w:proofErr w:type="spellEnd"/>
      <w:r>
        <w:t xml:space="preserve"> </w:t>
      </w:r>
      <w:r>
        <w:fldChar w:fldCharType="begin"/>
      </w:r>
      <w:r>
        <w:instrText xml:space="preserve"> NOTEREF _Ref82005929 \h </w:instrText>
      </w:r>
      <w:r>
        <w:fldChar w:fldCharType="separate"/>
      </w:r>
      <w:r w:rsidR="001C0502">
        <w:t>101</w:t>
      </w:r>
      <w:r>
        <w:fldChar w:fldCharType="end"/>
      </w:r>
      <w:r>
        <w:t>.</w:t>
      </w:r>
    </w:p>
  </w:footnote>
  <w:footnote w:id="46">
    <w:p w14:paraId="4A6787FA" w14:textId="26A06874" w:rsidR="00E157CD" w:rsidRDefault="00E157CD">
      <w:pPr>
        <w:pStyle w:val="FootnoteText"/>
      </w:pPr>
      <w:r>
        <w:rPr>
          <w:rStyle w:val="FootnoteReference"/>
        </w:rPr>
        <w:footnoteRef/>
      </w:r>
      <w:r>
        <w:t xml:space="preserve"> Art 1</w:t>
      </w:r>
      <w:r w:rsidR="009438AE">
        <w:t>, requiring that the taxpayer had to be resident in one of the states,</w:t>
      </w:r>
      <w:r>
        <w:t xml:space="preserve"> did not then exist</w:t>
      </w:r>
      <w:r w:rsidR="00D42F0B">
        <w:t>; i</w:t>
      </w:r>
      <w:r>
        <w:t xml:space="preserve">t was included in </w:t>
      </w:r>
      <w:r w:rsidR="009438AE">
        <w:t xml:space="preserve">the Third </w:t>
      </w:r>
      <w:r>
        <w:t>Report.</w:t>
      </w:r>
    </w:p>
  </w:footnote>
  <w:footnote w:id="47">
    <w:p w14:paraId="514E43F7" w14:textId="07AD003E" w:rsidR="00E43B93" w:rsidRDefault="00E43B93">
      <w:pPr>
        <w:pStyle w:val="FootnoteText"/>
      </w:pPr>
      <w:r>
        <w:rPr>
          <w:rStyle w:val="FootnoteReference"/>
        </w:rPr>
        <w:footnoteRef/>
      </w:r>
      <w:r>
        <w:t xml:space="preserve"> FC/M(58)5 (16 December 1958).</w:t>
      </w:r>
      <w:r w:rsidR="00247FFE">
        <w:t xml:space="preserve"> The draft contained a footnote: ‘</w:t>
      </w:r>
      <w:r w:rsidR="00247FFE" w:rsidRPr="00247FFE">
        <w:t xml:space="preserve">The expression </w:t>
      </w:r>
      <w:r w:rsidR="00247FFE">
        <w:t>“</w:t>
      </w:r>
      <w:r w:rsidR="00247FFE" w:rsidRPr="00247FFE">
        <w:t>shall be taxable only</w:t>
      </w:r>
      <w:r w:rsidR="00247FFE">
        <w:t>”</w:t>
      </w:r>
      <w:r w:rsidR="00247FFE" w:rsidRPr="00247FFE">
        <w:t xml:space="preserve"> does not prejudge the method to be used by the other Contracting State in order to avoid double taxation (method of exemption or tax credit method), this question being reserved</w:t>
      </w:r>
      <w:r w:rsidR="00247FFE">
        <w:t>.’</w:t>
      </w:r>
    </w:p>
  </w:footnote>
  <w:footnote w:id="48">
    <w:p w14:paraId="769BB787" w14:textId="405A3ADF" w:rsidR="001D60DB" w:rsidRDefault="001D60DB">
      <w:pPr>
        <w:pStyle w:val="FootnoteText"/>
      </w:pPr>
      <w:r>
        <w:rPr>
          <w:rStyle w:val="FootnoteReference"/>
        </w:rPr>
        <w:footnoteRef/>
      </w:r>
      <w:r>
        <w:t xml:space="preserve"> TDF/FC/63 (11 April 1959)</w:t>
      </w:r>
      <w:r w:rsidR="004A03E7">
        <w:t xml:space="preserve"> p 6</w:t>
      </w:r>
      <w:r>
        <w:t>.</w:t>
      </w:r>
    </w:p>
  </w:footnote>
  <w:footnote w:id="49">
    <w:p w14:paraId="0B3B7ACE" w14:textId="77777777" w:rsidR="00F36FF3" w:rsidRDefault="00F36FF3" w:rsidP="00F36FF3">
      <w:pPr>
        <w:pStyle w:val="FootnoteText"/>
      </w:pPr>
      <w:r>
        <w:rPr>
          <w:rStyle w:val="FootnoteReference"/>
        </w:rPr>
        <w:footnoteRef/>
      </w:r>
      <w:r>
        <w:t xml:space="preserve"> Senior civil servants did not then stay very long in any one post on the basis that really intelligent people could do any job, so there was no tradition of specialisation in say international tax.</w:t>
      </w:r>
    </w:p>
  </w:footnote>
  <w:footnote w:id="50">
    <w:p w14:paraId="3846C500" w14:textId="6A73CA96" w:rsidR="00603C98" w:rsidRDefault="00603C98">
      <w:pPr>
        <w:pStyle w:val="FootnoteText"/>
      </w:pPr>
      <w:r>
        <w:rPr>
          <w:rStyle w:val="FootnoteReference"/>
        </w:rPr>
        <w:footnoteRef/>
      </w:r>
      <w:r>
        <w:t xml:space="preserve"> </w:t>
      </w:r>
      <w:r w:rsidR="00757448">
        <w:t xml:space="preserve">See text at n </w:t>
      </w:r>
      <w:r w:rsidR="00757448">
        <w:fldChar w:fldCharType="begin"/>
      </w:r>
      <w:r w:rsidR="00757448">
        <w:instrText xml:space="preserve"> NOTEREF _Ref97621980 \h </w:instrText>
      </w:r>
      <w:r w:rsidR="00757448">
        <w:fldChar w:fldCharType="separate"/>
      </w:r>
      <w:r w:rsidR="001C0502">
        <w:t>80</w:t>
      </w:r>
      <w:r w:rsidR="00757448">
        <w:fldChar w:fldCharType="end"/>
      </w:r>
      <w:r w:rsidR="00757448">
        <w:t xml:space="preserve"> for </w:t>
      </w:r>
      <w:proofErr w:type="spellStart"/>
      <w:r w:rsidR="00757448">
        <w:t>WP2’s</w:t>
      </w:r>
      <w:proofErr w:type="spellEnd"/>
      <w:r w:rsidR="00757448">
        <w:t xml:space="preserve"> earlier proposal for on art 1. </w:t>
      </w:r>
      <w:r>
        <w:t>Other articles for which they were responsible were arts 25, 26, 28, 30, 31, and 32.</w:t>
      </w:r>
    </w:p>
  </w:footnote>
  <w:footnote w:id="51">
    <w:p w14:paraId="5E581485" w14:textId="38C32E37" w:rsidR="00F7520A" w:rsidRDefault="00F7520A">
      <w:pPr>
        <w:pStyle w:val="FootnoteText"/>
      </w:pPr>
      <w:r>
        <w:rPr>
          <w:rStyle w:val="FootnoteReference"/>
        </w:rPr>
        <w:footnoteRef/>
      </w:r>
      <w:r>
        <w:t xml:space="preserve"> FC/M(59)2 (20 October 1959) p 10.</w:t>
      </w:r>
    </w:p>
  </w:footnote>
  <w:footnote w:id="52">
    <w:p w14:paraId="532562B1" w14:textId="2A00CE7B" w:rsidR="004F4F49" w:rsidRDefault="004F4F49">
      <w:pPr>
        <w:pStyle w:val="FootnoteText"/>
      </w:pPr>
      <w:r>
        <w:rPr>
          <w:rStyle w:val="FootnoteReference"/>
        </w:rPr>
        <w:footnoteRef/>
      </w:r>
      <w:r>
        <w:t xml:space="preserve"> </w:t>
      </w:r>
      <w:r w:rsidRPr="004F4F49">
        <w:t>FC/</w:t>
      </w:r>
      <w:proofErr w:type="spellStart"/>
      <w:r w:rsidRPr="004F4F49">
        <w:t>WP14</w:t>
      </w:r>
      <w:proofErr w:type="spellEnd"/>
      <w:r w:rsidRPr="004F4F49">
        <w:t>(59)1 (3 March 1959).</w:t>
      </w:r>
    </w:p>
  </w:footnote>
  <w:footnote w:id="53">
    <w:p w14:paraId="42DC41FE" w14:textId="77777777" w:rsidR="00964A41" w:rsidRDefault="00964A41" w:rsidP="00964A41">
      <w:pPr>
        <w:pStyle w:val="FootnoteText"/>
      </w:pPr>
      <w:r>
        <w:rPr>
          <w:rStyle w:val="FootnoteReference"/>
        </w:rPr>
        <w:footnoteRef/>
      </w:r>
      <w:r>
        <w:t xml:space="preserve"> </w:t>
      </w:r>
      <w:bookmarkStart w:id="5" w:name="_Hlk60990491"/>
      <w:r w:rsidRPr="008459BF">
        <w:t>FC/M(59)4</w:t>
      </w:r>
      <w:r>
        <w:t xml:space="preserve"> (20 October 1959) at III.</w:t>
      </w:r>
      <w:bookmarkEnd w:id="5"/>
    </w:p>
  </w:footnote>
  <w:footnote w:id="54">
    <w:p w14:paraId="168FDA3A" w14:textId="77777777" w:rsidR="009F5E04" w:rsidRDefault="009F5E04" w:rsidP="009F5E04">
      <w:pPr>
        <w:pStyle w:val="FootnoteText"/>
      </w:pPr>
      <w:r>
        <w:rPr>
          <w:rStyle w:val="FootnoteReference"/>
        </w:rPr>
        <w:footnoteRef/>
      </w:r>
      <w:r>
        <w:t xml:space="preserve"> ‘</w:t>
      </w:r>
      <w:r w:rsidRPr="00F7520A">
        <w:t xml:space="preserve">After discussing Article </w:t>
      </w:r>
      <w:r>
        <w:t>[21]</w:t>
      </w:r>
      <w:r w:rsidRPr="00F7520A">
        <w:t xml:space="preserve"> on the taxation of residuary income, proposed by working Party No. 14 (see Item III below)</w:t>
      </w:r>
      <w:r>
        <w:t>…’(p 7) and ‘</w:t>
      </w:r>
      <w:r w:rsidRPr="00F7520A">
        <w:t xml:space="preserve">The Committee continued its examination of Article </w:t>
      </w:r>
      <w:r>
        <w:t>[21]</w:t>
      </w:r>
      <w:r w:rsidRPr="00F7520A">
        <w:t xml:space="preserve"> concerning the taxation of residuary income as proposed by Working Party No. 14</w:t>
      </w:r>
      <w:r>
        <w:t xml:space="preserve">.’ (p 10) </w:t>
      </w:r>
      <w:r w:rsidRPr="00F7520A">
        <w:t>FC/M(59)5 (30 December 1959)</w:t>
      </w:r>
      <w:r>
        <w:t>.</w:t>
      </w:r>
    </w:p>
  </w:footnote>
  <w:footnote w:id="55">
    <w:p w14:paraId="34EE9116" w14:textId="78941CB8" w:rsidR="00F7520A" w:rsidRDefault="00F7520A">
      <w:pPr>
        <w:pStyle w:val="FootnoteText"/>
      </w:pPr>
      <w:r>
        <w:rPr>
          <w:rStyle w:val="FootnoteReference"/>
        </w:rPr>
        <w:footnoteRef/>
      </w:r>
      <w:r>
        <w:t xml:space="preserve"> </w:t>
      </w:r>
      <w:r w:rsidRPr="00293325">
        <w:t>FC/</w:t>
      </w:r>
      <w:proofErr w:type="spellStart"/>
      <w:r w:rsidRPr="00293325">
        <w:t>WP15</w:t>
      </w:r>
      <w:proofErr w:type="spellEnd"/>
      <w:r w:rsidRPr="00293325">
        <w:t>(59)1</w:t>
      </w:r>
      <w:r w:rsidR="008A6404">
        <w:t xml:space="preserve"> Pt 1</w:t>
      </w:r>
      <w:r>
        <w:t xml:space="preserve"> (2 March 1959)</w:t>
      </w:r>
      <w:r w:rsidR="008F14EE">
        <w:t xml:space="preserve"> p 18</w:t>
      </w:r>
      <w:r w:rsidR="008A6404">
        <w:t xml:space="preserve">, </w:t>
      </w:r>
      <w:r w:rsidR="00B50344">
        <w:t>revised</w:t>
      </w:r>
      <w:r w:rsidR="008A6404">
        <w:t xml:space="preserve"> </w:t>
      </w:r>
      <w:r w:rsidR="008A6404" w:rsidRPr="008A6404">
        <w:t>FC/</w:t>
      </w:r>
      <w:proofErr w:type="spellStart"/>
      <w:r w:rsidR="008A6404" w:rsidRPr="008A6404">
        <w:t>WP15</w:t>
      </w:r>
      <w:proofErr w:type="spellEnd"/>
      <w:r w:rsidR="008A6404" w:rsidRPr="008A6404">
        <w:t>(59)2</w:t>
      </w:r>
      <w:r w:rsidR="008A6404">
        <w:t xml:space="preserve"> (13 May 1959)</w:t>
      </w:r>
      <w:r>
        <w:t>.</w:t>
      </w:r>
    </w:p>
  </w:footnote>
  <w:footnote w:id="56">
    <w:p w14:paraId="64BA8E72" w14:textId="1B34904A" w:rsidR="00F7520A" w:rsidRPr="00F31FE1" w:rsidRDefault="00F7520A">
      <w:pPr>
        <w:pStyle w:val="FootnoteText"/>
      </w:pPr>
      <w:r>
        <w:rPr>
          <w:rStyle w:val="FootnoteReference"/>
        </w:rPr>
        <w:footnoteRef/>
      </w:r>
      <w:r>
        <w:t xml:space="preserve"> The WP said that the last phrase ‘</w:t>
      </w:r>
      <w:r w:rsidRPr="00293325">
        <w:t>provides the necessary elasticity for ensuring that the exemption system may be used to the extent desired by the Contracting States</w:t>
      </w:r>
      <w:r>
        <w:t>’: p 19</w:t>
      </w:r>
      <w:r w:rsidRPr="00293325">
        <w:t>.</w:t>
      </w:r>
      <w:r w:rsidRPr="00293325">
        <w:rPr>
          <w:sz w:val="24"/>
          <w:szCs w:val="24"/>
        </w:rPr>
        <w:t xml:space="preserve"> </w:t>
      </w:r>
      <w:r w:rsidR="00F31FE1" w:rsidRPr="00F31FE1">
        <w:t xml:space="preserve">In its </w:t>
      </w:r>
      <w:r w:rsidR="008073E5">
        <w:t xml:space="preserve">subsequent </w:t>
      </w:r>
      <w:r w:rsidR="00F31FE1" w:rsidRPr="00F31FE1">
        <w:t xml:space="preserve">Supplementary Report the WP recommended its deletion as </w:t>
      </w:r>
      <w:r w:rsidR="00B50344">
        <w:t xml:space="preserve">it </w:t>
      </w:r>
      <w:r w:rsidR="00B50344" w:rsidRPr="00F31FE1">
        <w:t>state</w:t>
      </w:r>
      <w:r w:rsidR="00B50344">
        <w:t>d</w:t>
      </w:r>
      <w:r w:rsidR="00F31FE1" w:rsidRPr="00F31FE1">
        <w:t xml:space="preserve"> the obvious and many treaties by credit states did not contain it.</w:t>
      </w:r>
      <w:r w:rsidR="00F31FE1" w:rsidRPr="00F31FE1">
        <w:rPr>
          <w:sz w:val="24"/>
          <w:szCs w:val="24"/>
          <w:lang w:val="en-AU" w:eastAsia="en-AU"/>
        </w:rPr>
        <w:t xml:space="preserve"> </w:t>
      </w:r>
      <w:r w:rsidR="00F31FE1" w:rsidRPr="00F31FE1">
        <w:rPr>
          <w:lang w:val="en-AU"/>
        </w:rPr>
        <w:t>FC/</w:t>
      </w:r>
      <w:proofErr w:type="spellStart"/>
      <w:r w:rsidR="00F31FE1" w:rsidRPr="00F31FE1">
        <w:rPr>
          <w:lang w:val="en-AU"/>
        </w:rPr>
        <w:t>WP15</w:t>
      </w:r>
      <w:proofErr w:type="spellEnd"/>
      <w:r w:rsidR="00F31FE1" w:rsidRPr="00F31FE1">
        <w:rPr>
          <w:lang w:val="en-AU"/>
        </w:rPr>
        <w:t>(60)1</w:t>
      </w:r>
      <w:r w:rsidR="00F31FE1">
        <w:rPr>
          <w:lang w:val="en-AU"/>
        </w:rPr>
        <w:t xml:space="preserve"> (25 April 1960) p 5-6.</w:t>
      </w:r>
    </w:p>
  </w:footnote>
  <w:footnote w:id="57">
    <w:p w14:paraId="7138B065" w14:textId="7ECE5164" w:rsidR="00E57347" w:rsidRDefault="00E57347">
      <w:pPr>
        <w:pStyle w:val="FootnoteText"/>
      </w:pPr>
      <w:r>
        <w:rPr>
          <w:rStyle w:val="FootnoteReference"/>
        </w:rPr>
        <w:footnoteRef/>
      </w:r>
      <w:r>
        <w:t xml:space="preserve"> See text at n </w:t>
      </w:r>
      <w:r>
        <w:fldChar w:fldCharType="begin"/>
      </w:r>
      <w:r>
        <w:instrText xml:space="preserve"> NOTEREF _Ref85615397 \h </w:instrText>
      </w:r>
      <w:r>
        <w:fldChar w:fldCharType="separate"/>
      </w:r>
      <w:r w:rsidR="001C0502">
        <w:t>97</w:t>
      </w:r>
      <w:r>
        <w:fldChar w:fldCharType="end"/>
      </w:r>
      <w:r>
        <w:t>.</w:t>
      </w:r>
    </w:p>
  </w:footnote>
  <w:footnote w:id="58">
    <w:p w14:paraId="02F2F354" w14:textId="1F15B712" w:rsidR="004C0B88" w:rsidRDefault="004C0B88" w:rsidP="004C0B88">
      <w:pPr>
        <w:pStyle w:val="FootnoteText"/>
      </w:pPr>
      <w:r>
        <w:rPr>
          <w:rStyle w:val="FootnoteReference"/>
        </w:rPr>
        <w:footnoteRef/>
      </w:r>
      <w:r>
        <w:t xml:space="preserve"> </w:t>
      </w:r>
      <w:r w:rsidRPr="00A4731C">
        <w:t xml:space="preserve">The German </w:t>
      </w:r>
      <w:r w:rsidR="00B50344">
        <w:t xml:space="preserve">and UK </w:t>
      </w:r>
      <w:r w:rsidRPr="00A4731C">
        <w:t>delegate</w:t>
      </w:r>
      <w:r w:rsidR="00B50344">
        <w:t>s</w:t>
      </w:r>
      <w:r w:rsidRPr="00A4731C">
        <w:t xml:space="preserve"> said it should also cover third state income</w:t>
      </w:r>
      <w:r w:rsidR="00A4731C">
        <w:t>. FC/M(59)5 (30 December 1959) p 5</w:t>
      </w:r>
      <w:r w:rsidR="00B50344">
        <w:t>-6</w:t>
      </w:r>
      <w:r w:rsidR="00A4731C">
        <w:t>.</w:t>
      </w:r>
    </w:p>
  </w:footnote>
  <w:footnote w:id="59">
    <w:p w14:paraId="65590A5C" w14:textId="759E425C" w:rsidR="004068DF" w:rsidRDefault="004068DF" w:rsidP="004068DF">
      <w:pPr>
        <w:pStyle w:val="FootnoteText"/>
      </w:pPr>
      <w:r>
        <w:rPr>
          <w:rStyle w:val="FootnoteReference"/>
        </w:rPr>
        <w:footnoteRef/>
      </w:r>
      <w:r>
        <w:t xml:space="preserve"> </w:t>
      </w:r>
      <w:r w:rsidRPr="00F95610">
        <w:t>FC/M(59)5</w:t>
      </w:r>
      <w:r>
        <w:t xml:space="preserve"> (30 December 1959) p 6.</w:t>
      </w:r>
    </w:p>
  </w:footnote>
  <w:footnote w:id="60">
    <w:p w14:paraId="1C76DED2" w14:textId="77777777" w:rsidR="002977AC" w:rsidRDefault="002977AC" w:rsidP="002977AC">
      <w:pPr>
        <w:pStyle w:val="FootnoteText"/>
      </w:pPr>
      <w:r>
        <w:rPr>
          <w:rStyle w:val="FootnoteReference"/>
        </w:rPr>
        <w:footnoteRef/>
      </w:r>
      <w:r>
        <w:t xml:space="preserve"> FC/M(59)5 (30 December 1959) p 9.</w:t>
      </w:r>
    </w:p>
  </w:footnote>
  <w:footnote w:id="61">
    <w:p w14:paraId="15D3CB28" w14:textId="5E2A02B0" w:rsidR="00CA157C" w:rsidRDefault="00CA157C">
      <w:pPr>
        <w:pStyle w:val="FootnoteText"/>
      </w:pPr>
      <w:r>
        <w:rPr>
          <w:rStyle w:val="FootnoteReference"/>
        </w:rPr>
        <w:footnoteRef/>
      </w:r>
      <w:r>
        <w:t xml:space="preserve"> </w:t>
      </w:r>
      <w:r w:rsidRPr="00CA157C">
        <w:t>FC/</w:t>
      </w:r>
      <w:proofErr w:type="spellStart"/>
      <w:r w:rsidRPr="00CA157C">
        <w:t>WP14</w:t>
      </w:r>
      <w:proofErr w:type="spellEnd"/>
      <w:r w:rsidRPr="00CA157C">
        <w:t>(60)1 (19 January 1960).</w:t>
      </w:r>
      <w:r w:rsidR="004068DF">
        <w:t xml:space="preserve"> Our italics.</w:t>
      </w:r>
    </w:p>
  </w:footnote>
  <w:footnote w:id="62">
    <w:p w14:paraId="342714C4" w14:textId="1F6A8896" w:rsidR="004068DF" w:rsidRDefault="004068DF">
      <w:pPr>
        <w:pStyle w:val="FootnoteText"/>
      </w:pPr>
      <w:r>
        <w:rPr>
          <w:rStyle w:val="FootnoteReference"/>
        </w:rPr>
        <w:footnoteRef/>
      </w:r>
      <w:r>
        <w:t xml:space="preserve"> </w:t>
      </w:r>
      <w:r w:rsidRPr="004068DF">
        <w:t>FC/M(60)1 (20 February 1960) p 6-7.</w:t>
      </w:r>
    </w:p>
  </w:footnote>
  <w:footnote w:id="63">
    <w:p w14:paraId="5A75CA2D" w14:textId="1965A473" w:rsidR="00F7520A" w:rsidRPr="00F362D4" w:rsidRDefault="00F7520A">
      <w:pPr>
        <w:pStyle w:val="FootnoteText"/>
      </w:pPr>
      <w:r>
        <w:rPr>
          <w:rStyle w:val="FootnoteReference"/>
        </w:rPr>
        <w:footnoteRef/>
      </w:r>
      <w:r>
        <w:t xml:space="preserve"> </w:t>
      </w:r>
      <w:r w:rsidRPr="00F362D4">
        <w:t>CFA/</w:t>
      </w:r>
      <w:proofErr w:type="spellStart"/>
      <w:r w:rsidRPr="00F362D4">
        <w:t>WP1</w:t>
      </w:r>
      <w:proofErr w:type="spellEnd"/>
      <w:r w:rsidRPr="00F362D4">
        <w:t>(73)4 (12 April 1973)</w:t>
      </w:r>
      <w:r>
        <w:t>.</w:t>
      </w:r>
      <w:r w:rsidR="00F85BD9">
        <w:t xml:space="preserve"> Nor did they think that the tie-breaker provisions in art 4 had any relevance to third state income.</w:t>
      </w:r>
    </w:p>
  </w:footnote>
  <w:footnote w:id="64">
    <w:p w14:paraId="02B8221C" w14:textId="48F0BCE7" w:rsidR="00EA3A4E" w:rsidRDefault="00EA3A4E">
      <w:pPr>
        <w:pStyle w:val="FootnoteText"/>
      </w:pPr>
      <w:r>
        <w:rPr>
          <w:rStyle w:val="FootnoteReference"/>
        </w:rPr>
        <w:footnoteRef/>
      </w:r>
      <w:r>
        <w:t xml:space="preserve"> FC/M(60)3 (28 May 1960)  p 16.</w:t>
      </w:r>
      <w:r w:rsidR="00B27EDB">
        <w:t xml:space="preserve"> The Secretary prepared comparative tables of the articles in advance of the meeting: </w:t>
      </w:r>
      <w:r w:rsidR="00B27EDB" w:rsidRPr="00B27EDB">
        <w:t>TFD/FC/98</w:t>
      </w:r>
      <w:r w:rsidR="00B27EDB">
        <w:t xml:space="preserve"> (9 June 1960).</w:t>
      </w:r>
    </w:p>
  </w:footnote>
  <w:footnote w:id="65">
    <w:p w14:paraId="3F27D7AB" w14:textId="73E66BF0" w:rsidR="009C4695" w:rsidRDefault="009C4695">
      <w:pPr>
        <w:pStyle w:val="FootnoteText"/>
      </w:pPr>
      <w:r>
        <w:rPr>
          <w:rStyle w:val="FootnoteReference"/>
        </w:rPr>
        <w:footnoteRef/>
      </w:r>
      <w:r>
        <w:t xml:space="preserve"> </w:t>
      </w:r>
      <w:r w:rsidRPr="009C4695">
        <w:rPr>
          <w:lang w:val="en-AU"/>
        </w:rPr>
        <w:t>FC/</w:t>
      </w:r>
      <w:proofErr w:type="spellStart"/>
      <w:r w:rsidRPr="009C4695">
        <w:rPr>
          <w:lang w:val="en-AU"/>
        </w:rPr>
        <w:t>WP14</w:t>
      </w:r>
      <w:proofErr w:type="spellEnd"/>
      <w:r w:rsidRPr="009C4695">
        <w:rPr>
          <w:lang w:val="en-AU"/>
        </w:rPr>
        <w:t xml:space="preserve">(61)1 </w:t>
      </w:r>
      <w:bookmarkStart w:id="11" w:name="_Hlk66189695"/>
      <w:r>
        <w:rPr>
          <w:lang w:val="en-AU"/>
        </w:rPr>
        <w:t>(</w:t>
      </w:r>
      <w:r w:rsidRPr="009C4695">
        <w:rPr>
          <w:lang w:val="en-AU"/>
        </w:rPr>
        <w:t>9 January 1961</w:t>
      </w:r>
      <w:r>
        <w:rPr>
          <w:lang w:val="en-AU"/>
        </w:rPr>
        <w:t>)</w:t>
      </w:r>
      <w:bookmarkEnd w:id="11"/>
      <w:r w:rsidR="00AF5F33">
        <w:rPr>
          <w:lang w:val="en-AU"/>
        </w:rPr>
        <w:t>,</w:t>
      </w:r>
      <w:r w:rsidR="002804F8">
        <w:rPr>
          <w:lang w:val="en-AU"/>
        </w:rPr>
        <w:t xml:space="preserve"> being a revision of FC/</w:t>
      </w:r>
      <w:proofErr w:type="spellStart"/>
      <w:r w:rsidR="002804F8">
        <w:rPr>
          <w:lang w:val="en-AU"/>
        </w:rPr>
        <w:t>WP14</w:t>
      </w:r>
      <w:proofErr w:type="spellEnd"/>
      <w:r w:rsidR="002804F8">
        <w:rPr>
          <w:lang w:val="en-AU"/>
        </w:rPr>
        <w:t>(59)1 that had not previously been considered by the FC</w:t>
      </w:r>
      <w:r>
        <w:rPr>
          <w:lang w:val="en-AU"/>
        </w:rPr>
        <w:t>.</w:t>
      </w:r>
    </w:p>
  </w:footnote>
  <w:footnote w:id="66">
    <w:p w14:paraId="762DAA79" w14:textId="77777777" w:rsidR="00C94A8A" w:rsidRDefault="00C94A8A" w:rsidP="00C94A8A">
      <w:pPr>
        <w:pStyle w:val="FootnoteText"/>
      </w:pPr>
      <w:r>
        <w:rPr>
          <w:rStyle w:val="FootnoteReference"/>
        </w:rPr>
        <w:footnoteRef/>
      </w:r>
      <w:r>
        <w:t xml:space="preserve"> FC/M(61)4 (8 July 1961) p 6.</w:t>
      </w:r>
    </w:p>
  </w:footnote>
  <w:footnote w:id="67">
    <w:p w14:paraId="79F16F60" w14:textId="50DC764A" w:rsidR="001B5F72" w:rsidRDefault="001B5F72">
      <w:pPr>
        <w:pStyle w:val="FootnoteText"/>
      </w:pPr>
      <w:r>
        <w:rPr>
          <w:rStyle w:val="FootnoteReference"/>
        </w:rPr>
        <w:footnoteRef/>
      </w:r>
      <w:r w:rsidR="00DA285A">
        <w:rPr>
          <w:lang w:val="en-AU"/>
        </w:rPr>
        <w:t xml:space="preserve"> The </w:t>
      </w:r>
      <w:r w:rsidR="00554D58">
        <w:rPr>
          <w:lang w:val="en-AU"/>
        </w:rPr>
        <w:t xml:space="preserve">definition of company is dealt with in more detail in </w:t>
      </w:r>
      <w:proofErr w:type="spellStart"/>
      <w:r w:rsidR="00554D58">
        <w:rPr>
          <w:lang w:val="en-AU"/>
        </w:rPr>
        <w:t>JFAJ</w:t>
      </w:r>
      <w:proofErr w:type="spellEnd"/>
      <w:r w:rsidR="00554D58">
        <w:rPr>
          <w:lang w:val="en-AU"/>
        </w:rPr>
        <w:t xml:space="preserve"> et al ‘The Definitions of Dividends and Interest in the OECD Model: Something Lost in Translation? [2009] </w:t>
      </w:r>
      <w:proofErr w:type="spellStart"/>
      <w:r w:rsidR="00554D58">
        <w:rPr>
          <w:lang w:val="en-AU"/>
        </w:rPr>
        <w:t>BTR</w:t>
      </w:r>
      <w:proofErr w:type="spellEnd"/>
      <w:r w:rsidR="00554D58">
        <w:rPr>
          <w:lang w:val="en-AU"/>
        </w:rPr>
        <w:t xml:space="preserve"> 406</w:t>
      </w:r>
      <w:r w:rsidR="00460D60">
        <w:rPr>
          <w:lang w:val="en-AU"/>
        </w:rPr>
        <w:t>; 2009 (vol 1) World Tax Journal No 1</w:t>
      </w:r>
      <w:r w:rsidRPr="009C4695">
        <w:rPr>
          <w:lang w:val="en-AU"/>
        </w:rPr>
        <w:t>.</w:t>
      </w:r>
    </w:p>
  </w:footnote>
  <w:footnote w:id="68">
    <w:p w14:paraId="49BD9E51" w14:textId="502983E2" w:rsidR="00B765FC" w:rsidRDefault="00B765FC">
      <w:pPr>
        <w:pStyle w:val="FootnoteText"/>
      </w:pPr>
      <w:r>
        <w:rPr>
          <w:rStyle w:val="FootnoteReference"/>
        </w:rPr>
        <w:footnoteRef/>
      </w:r>
      <w:r>
        <w:t xml:space="preserve"> Originally </w:t>
      </w:r>
      <w:r w:rsidR="00834B2E">
        <w:t xml:space="preserve">in the 1963 Draft </w:t>
      </w:r>
      <w:r>
        <w:t xml:space="preserve">both the definitions of dividend and interest contained a reference to the </w:t>
      </w:r>
      <w:r w:rsidR="00834B2E">
        <w:t xml:space="preserve">domestic </w:t>
      </w:r>
      <w:r>
        <w:t>tax treatment</w:t>
      </w:r>
      <w:r w:rsidR="00834B2E">
        <w:t xml:space="preserve">. </w:t>
      </w:r>
      <w:r>
        <w:t xml:space="preserve"> </w:t>
      </w:r>
      <w:r w:rsidR="00834B2E">
        <w:t xml:space="preserve">The working parties dealing with these had a joint meeting (a note by the Secretariat as a basis for discussion is at </w:t>
      </w:r>
      <w:r w:rsidR="00834B2E" w:rsidRPr="007C298D">
        <w:t>TFD/FC/98</w:t>
      </w:r>
      <w:r w:rsidR="00834B2E">
        <w:t xml:space="preserve"> (9 June 1960)) to discuss any overlap but no minutes are available, and no change was made to the definitions following this meeting. The definition of ‘interest’ was subsequently made autonomous (</w:t>
      </w:r>
      <w:r w:rsidR="0092298F">
        <w:t>WP 27 preliminary report FC/</w:t>
      </w:r>
      <w:proofErr w:type="spellStart"/>
      <w:r w:rsidR="0092298F">
        <w:t>WP27</w:t>
      </w:r>
      <w:proofErr w:type="spellEnd"/>
      <w:r w:rsidR="0092298F">
        <w:t>(68)1) (30 December 1968)</w:t>
      </w:r>
      <w:r w:rsidR="003F12EB">
        <w:t>,</w:t>
      </w:r>
      <w:r w:rsidR="008771D8">
        <w:t xml:space="preserve"> subsequent report FC/</w:t>
      </w:r>
      <w:proofErr w:type="spellStart"/>
      <w:r w:rsidR="008771D8">
        <w:t>WP27</w:t>
      </w:r>
      <w:proofErr w:type="spellEnd"/>
      <w:r w:rsidR="008771D8">
        <w:t>(70)1 (16 February 1970)</w:t>
      </w:r>
      <w:r w:rsidR="00834B2E">
        <w:t>,</w:t>
      </w:r>
      <w:r w:rsidR="003F12EB">
        <w:t xml:space="preserve"> proposal FC/</w:t>
      </w:r>
      <w:proofErr w:type="spellStart"/>
      <w:r w:rsidR="003F12EB">
        <w:t>WP27</w:t>
      </w:r>
      <w:proofErr w:type="spellEnd"/>
      <w:r w:rsidR="003F12EB">
        <w:t>(70)2 (4 November 1970)</w:t>
      </w:r>
      <w:r w:rsidR="0092298F">
        <w:t xml:space="preserve">, </w:t>
      </w:r>
      <w:r w:rsidR="00834B2E">
        <w:t>approved by the FC FC(71)1 (14 January 1971)). This</w:t>
      </w:r>
      <w:r w:rsidR="007C298D">
        <w:t xml:space="preserve"> causes problems, see </w:t>
      </w:r>
      <w:proofErr w:type="spellStart"/>
      <w:r w:rsidR="007C298D">
        <w:t>JFAJ</w:t>
      </w:r>
      <w:proofErr w:type="spellEnd"/>
      <w:r w:rsidR="007C298D">
        <w:t xml:space="preserve"> et al, The Definitions of Dividends and Interest in the OECD Model: Something Lost in Translation? [2009] </w:t>
      </w:r>
      <w:proofErr w:type="spellStart"/>
      <w:r w:rsidR="007C298D">
        <w:t>BTR</w:t>
      </w:r>
      <w:proofErr w:type="spellEnd"/>
      <w:r w:rsidR="007C298D">
        <w:t xml:space="preserve"> 406. </w:t>
      </w:r>
    </w:p>
  </w:footnote>
  <w:footnote w:id="69">
    <w:p w14:paraId="28D1F3EC" w14:textId="2083A19B" w:rsidR="009C4695" w:rsidRDefault="009C4695">
      <w:pPr>
        <w:pStyle w:val="FootnoteText"/>
      </w:pPr>
      <w:r>
        <w:rPr>
          <w:rStyle w:val="FootnoteReference"/>
        </w:rPr>
        <w:footnoteRef/>
      </w:r>
      <w:r>
        <w:t xml:space="preserve"> </w:t>
      </w:r>
      <w:r w:rsidRPr="009C4695">
        <w:rPr>
          <w:lang w:val="en-AU"/>
        </w:rPr>
        <w:t>FC/</w:t>
      </w:r>
      <w:proofErr w:type="spellStart"/>
      <w:r w:rsidRPr="009C4695">
        <w:rPr>
          <w:lang w:val="en-AU"/>
        </w:rPr>
        <w:t>WP14</w:t>
      </w:r>
      <w:proofErr w:type="spellEnd"/>
      <w:r w:rsidRPr="009C4695">
        <w:rPr>
          <w:lang w:val="en-AU"/>
        </w:rPr>
        <w:t>(61)1 (9 January 1961)</w:t>
      </w:r>
      <w:r>
        <w:rPr>
          <w:lang w:val="en-AU"/>
        </w:rPr>
        <w:t xml:space="preserve"> </w:t>
      </w:r>
      <w:r w:rsidRPr="009C4695">
        <w:rPr>
          <w:lang w:val="en-AU"/>
        </w:rPr>
        <w:t>p 3 pars 3-4</w:t>
      </w:r>
      <w:r>
        <w:rPr>
          <w:lang w:val="en-AU"/>
        </w:rPr>
        <w:t>.</w:t>
      </w:r>
    </w:p>
  </w:footnote>
  <w:footnote w:id="70">
    <w:p w14:paraId="645F9BC2" w14:textId="77777777" w:rsidR="00C94A8A" w:rsidRDefault="00C94A8A" w:rsidP="00C94A8A">
      <w:pPr>
        <w:pStyle w:val="FootnoteText"/>
      </w:pPr>
      <w:r>
        <w:rPr>
          <w:rStyle w:val="FootnoteReference"/>
        </w:rPr>
        <w:footnoteRef/>
      </w:r>
      <w:r>
        <w:t xml:space="preserve"> Second Report FC/</w:t>
      </w:r>
      <w:proofErr w:type="spellStart"/>
      <w:r>
        <w:t>WP14</w:t>
      </w:r>
      <w:proofErr w:type="spellEnd"/>
      <w:r>
        <w:t>(61)2 (18 September 1961).</w:t>
      </w:r>
    </w:p>
  </w:footnote>
  <w:footnote w:id="71">
    <w:p w14:paraId="7E718485" w14:textId="52A03F95" w:rsidR="004322D3" w:rsidRDefault="004322D3">
      <w:pPr>
        <w:pStyle w:val="FootnoteText"/>
      </w:pPr>
      <w:r>
        <w:rPr>
          <w:rStyle w:val="FootnoteReference"/>
        </w:rPr>
        <w:footnoteRef/>
      </w:r>
      <w:r>
        <w:t xml:space="preserve"> </w:t>
      </w:r>
      <w:r w:rsidRPr="004322D3">
        <w:rPr>
          <w:lang w:val="en-AU"/>
        </w:rPr>
        <w:t>FC/M(61)5 p 3 para 3</w:t>
      </w:r>
      <w:r w:rsidR="009817FE">
        <w:rPr>
          <w:lang w:val="en-AU"/>
        </w:rPr>
        <w:t xml:space="preserve"> (29 September 1961).</w:t>
      </w:r>
    </w:p>
  </w:footnote>
  <w:footnote w:id="72">
    <w:p w14:paraId="38871298" w14:textId="432BE4D9" w:rsidR="00BD145E" w:rsidRDefault="00BD145E">
      <w:pPr>
        <w:pStyle w:val="FootnoteText"/>
      </w:pPr>
      <w:r>
        <w:rPr>
          <w:rStyle w:val="FootnoteReference"/>
        </w:rPr>
        <w:footnoteRef/>
      </w:r>
      <w:r>
        <w:t xml:space="preserve"> The Application of the OECD Model Tax Convention to Partnerships, OECD 1999.</w:t>
      </w:r>
    </w:p>
  </w:footnote>
  <w:footnote w:id="73">
    <w:p w14:paraId="2E5988CD" w14:textId="4812E08B" w:rsidR="00BD145E" w:rsidRDefault="00BD145E">
      <w:pPr>
        <w:pStyle w:val="FootnoteText"/>
      </w:pPr>
      <w:r>
        <w:rPr>
          <w:rStyle w:val="FootnoteReference"/>
        </w:rPr>
        <w:footnoteRef/>
      </w:r>
      <w:r>
        <w:t xml:space="preserve"> </w:t>
      </w:r>
      <w:r w:rsidR="00B06356">
        <w:t>Arts 10(4), 11(4) and 12(3).</w:t>
      </w:r>
    </w:p>
  </w:footnote>
  <w:footnote w:id="74">
    <w:p w14:paraId="3E5B1F40" w14:textId="77777777" w:rsidR="007A315A" w:rsidRDefault="007A315A" w:rsidP="007A315A">
      <w:pPr>
        <w:pStyle w:val="FootnoteText"/>
      </w:pPr>
      <w:r>
        <w:rPr>
          <w:rStyle w:val="FootnoteReference"/>
        </w:rPr>
        <w:footnoteRef/>
      </w:r>
      <w:r>
        <w:t xml:space="preserve"> </w:t>
      </w:r>
      <w:r w:rsidRPr="00BB5B56">
        <w:rPr>
          <w:lang w:val="en-AU"/>
        </w:rPr>
        <w:t>FC/</w:t>
      </w:r>
      <w:proofErr w:type="spellStart"/>
      <w:r w:rsidRPr="00BB5B56">
        <w:rPr>
          <w:lang w:val="en-AU"/>
        </w:rPr>
        <w:t>WP14</w:t>
      </w:r>
      <w:proofErr w:type="spellEnd"/>
      <w:r w:rsidRPr="00BB5B56">
        <w:rPr>
          <w:lang w:val="en-AU"/>
        </w:rPr>
        <w:t>(62)1</w:t>
      </w:r>
      <w:r>
        <w:rPr>
          <w:lang w:val="en-AU"/>
        </w:rPr>
        <w:t xml:space="preserve"> (8 January 1962).</w:t>
      </w:r>
    </w:p>
  </w:footnote>
  <w:footnote w:id="75">
    <w:p w14:paraId="004A2727" w14:textId="3782F535" w:rsidR="009817FE" w:rsidRDefault="009817FE" w:rsidP="009817FE">
      <w:pPr>
        <w:pStyle w:val="FootnoteText"/>
      </w:pPr>
      <w:r>
        <w:rPr>
          <w:rStyle w:val="FootnoteReference"/>
        </w:rPr>
        <w:footnoteRef/>
      </w:r>
      <w:r>
        <w:t xml:space="preserve"> FC/M(62)1 (19 February 1962)</w:t>
      </w:r>
      <w:r w:rsidR="00F7279E">
        <w:t>; t</w:t>
      </w:r>
      <w:r w:rsidR="005356AA">
        <w:t>he change was relevant to trustee</w:t>
      </w:r>
      <w:r w:rsidR="00F7279E">
        <w:t xml:space="preserve">s. </w:t>
      </w:r>
      <w:r>
        <w:t>The second sentence contained in the First Report said ‘The same provisions shall apply to partnerships and associations which are not legal persons under the national laws by which they are governed.’</w:t>
      </w:r>
    </w:p>
  </w:footnote>
  <w:footnote w:id="76">
    <w:p w14:paraId="33A4D8F2" w14:textId="0B5C656E" w:rsidR="0042503A" w:rsidRDefault="0042503A">
      <w:pPr>
        <w:pStyle w:val="FootnoteText"/>
      </w:pPr>
      <w:r>
        <w:rPr>
          <w:rStyle w:val="FootnoteReference"/>
        </w:rPr>
        <w:footnoteRef/>
      </w:r>
      <w:r>
        <w:t xml:space="preserve"> </w:t>
      </w:r>
      <w:r w:rsidRPr="0042503A">
        <w:rPr>
          <w:lang w:val="en-AU"/>
        </w:rPr>
        <w:t>FC/</w:t>
      </w:r>
      <w:proofErr w:type="spellStart"/>
      <w:r w:rsidRPr="0042503A">
        <w:rPr>
          <w:lang w:val="en-AU"/>
        </w:rPr>
        <w:t>WP14</w:t>
      </w:r>
      <w:proofErr w:type="spellEnd"/>
      <w:r w:rsidRPr="0042503A">
        <w:rPr>
          <w:lang w:val="en-AU"/>
        </w:rPr>
        <w:t>(61)1</w:t>
      </w:r>
      <w:r w:rsidR="00666572">
        <w:rPr>
          <w:lang w:val="en-AU"/>
        </w:rPr>
        <w:t xml:space="preserve"> </w:t>
      </w:r>
      <w:r>
        <w:rPr>
          <w:lang w:val="en-AU"/>
        </w:rPr>
        <w:t>(9 January 1961)</w:t>
      </w:r>
      <w:r w:rsidRPr="0042503A">
        <w:rPr>
          <w:lang w:val="en-AU"/>
        </w:rPr>
        <w:t xml:space="preserve"> p 3</w:t>
      </w:r>
      <w:r w:rsidR="00666572">
        <w:rPr>
          <w:lang w:val="en-AU"/>
        </w:rPr>
        <w:t>-4</w:t>
      </w:r>
      <w:r>
        <w:rPr>
          <w:lang w:val="en-AU"/>
        </w:rPr>
        <w:t xml:space="preserve">, proposing the exclusion from the definition of </w:t>
      </w:r>
      <w:r w:rsidR="006B361F">
        <w:rPr>
          <w:lang w:val="en-AU"/>
        </w:rPr>
        <w:t xml:space="preserve">all </w:t>
      </w:r>
      <w:r>
        <w:rPr>
          <w:lang w:val="en-AU"/>
        </w:rPr>
        <w:t>income other than industrial and commercial income strictly speaking, which they pointed out meant that provisions were needed in the dividends, interest and royalties articles.</w:t>
      </w:r>
    </w:p>
  </w:footnote>
  <w:footnote w:id="77">
    <w:p w14:paraId="1800D697" w14:textId="137DADD4" w:rsidR="006F5E39" w:rsidRDefault="006F5E39">
      <w:pPr>
        <w:pStyle w:val="FootnoteText"/>
      </w:pPr>
      <w:r>
        <w:rPr>
          <w:rStyle w:val="FootnoteReference"/>
        </w:rPr>
        <w:footnoteRef/>
      </w:r>
      <w:r>
        <w:t xml:space="preserve"> If the taxpayer did not carry on a financial trade the UK and Ireland would consider that the income was not within art 7 </w:t>
      </w:r>
      <w:r w:rsidR="00DA722D">
        <w:t>and therefore art 21 applied and sent one to art 7.</w:t>
      </w:r>
    </w:p>
  </w:footnote>
  <w:footnote w:id="78">
    <w:p w14:paraId="370577C2" w14:textId="42D38B73" w:rsidR="00CF4EC6" w:rsidRDefault="00CF4EC6">
      <w:pPr>
        <w:pStyle w:val="FootnoteText"/>
      </w:pPr>
      <w:r>
        <w:rPr>
          <w:rStyle w:val="FootnoteReference"/>
        </w:rPr>
        <w:footnoteRef/>
      </w:r>
      <w:r>
        <w:t xml:space="preserve"> </w:t>
      </w:r>
      <w:r w:rsidRPr="00CF4EC6">
        <w:rPr>
          <w:lang w:val="en-AU"/>
        </w:rPr>
        <w:t>FC/</w:t>
      </w:r>
      <w:proofErr w:type="spellStart"/>
      <w:r w:rsidRPr="00CF4EC6">
        <w:rPr>
          <w:lang w:val="en-AU"/>
        </w:rPr>
        <w:t>WP14</w:t>
      </w:r>
      <w:proofErr w:type="spellEnd"/>
      <w:r w:rsidRPr="00CF4EC6">
        <w:rPr>
          <w:lang w:val="en-AU"/>
        </w:rPr>
        <w:t>(62)3</w:t>
      </w:r>
      <w:r>
        <w:rPr>
          <w:lang w:val="en-AU"/>
        </w:rPr>
        <w:t xml:space="preserve"> </w:t>
      </w:r>
      <w:r w:rsidRPr="00CF4EC6">
        <w:t>(16 April 1962)</w:t>
      </w:r>
      <w:r>
        <w:rPr>
          <w:lang w:val="en-AU"/>
        </w:rPr>
        <w:t xml:space="preserve">, </w:t>
      </w:r>
      <w:bookmarkStart w:id="12" w:name="_Hlk66805260"/>
      <w:r w:rsidRPr="00CF4EC6">
        <w:rPr>
          <w:lang w:val="en-AU"/>
        </w:rPr>
        <w:t>FC/M(62)3 p 10</w:t>
      </w:r>
      <w:r>
        <w:rPr>
          <w:lang w:val="en-AU"/>
        </w:rPr>
        <w:t xml:space="preserve"> (8 June 1962).</w:t>
      </w:r>
      <w:bookmarkEnd w:id="12"/>
    </w:p>
  </w:footnote>
  <w:footnote w:id="79">
    <w:p w14:paraId="16B34C45" w14:textId="6936FDEA" w:rsidR="000829D1" w:rsidRDefault="000829D1">
      <w:pPr>
        <w:pStyle w:val="FootnoteText"/>
      </w:pPr>
      <w:r>
        <w:rPr>
          <w:rStyle w:val="FootnoteReference"/>
        </w:rPr>
        <w:footnoteRef/>
      </w:r>
      <w:r>
        <w:t xml:space="preserve"> The term ‘residence’ was adopted from US and UK treaties in preference to fiscal domicile.</w:t>
      </w:r>
      <w:r w:rsidR="00A25763">
        <w:t xml:space="preserve"> </w:t>
      </w:r>
      <w:r w:rsidR="00B130AF">
        <w:t xml:space="preserve">As has been mentioned (text at n </w:t>
      </w:r>
      <w:r w:rsidR="00B130AF">
        <w:fldChar w:fldCharType="begin"/>
      </w:r>
      <w:r w:rsidR="00B130AF">
        <w:instrText xml:space="preserve"> NOTEREF _Ref98237635 \h </w:instrText>
      </w:r>
      <w:r w:rsidR="00B130AF">
        <w:fldChar w:fldCharType="separate"/>
      </w:r>
      <w:r w:rsidR="001C0502">
        <w:t>22</w:t>
      </w:r>
      <w:r w:rsidR="00B130AF">
        <w:fldChar w:fldCharType="end"/>
      </w:r>
      <w:r w:rsidR="00B130AF">
        <w:t xml:space="preserve">) </w:t>
      </w:r>
      <w:r w:rsidR="00A25763">
        <w:t>UK treaties</w:t>
      </w:r>
      <w:r w:rsidR="00B130AF">
        <w:t xml:space="preserve"> originally provided that a company was resident where it was managed and controlled</w:t>
      </w:r>
      <w:r w:rsidR="00855401">
        <w:t xml:space="preserve">; for the reason, see </w:t>
      </w:r>
      <w:proofErr w:type="spellStart"/>
      <w:r w:rsidR="00855401">
        <w:t>JFAJ</w:t>
      </w:r>
      <w:proofErr w:type="spellEnd"/>
      <w:r w:rsidR="00855401">
        <w:t xml:space="preserve"> ‘Changed HMRC interpretation of the residence articles in 16 double taxation agreements’ [2016] </w:t>
      </w:r>
      <w:proofErr w:type="spellStart"/>
      <w:r w:rsidR="00855401">
        <w:t>BTR</w:t>
      </w:r>
      <w:proofErr w:type="spellEnd"/>
      <w:r w:rsidR="00855401">
        <w:t xml:space="preserve"> 1</w:t>
      </w:r>
      <w:r w:rsidR="00B130AF">
        <w:t>. The UK said that this was the same as place of effective management (FC/</w:t>
      </w:r>
      <w:proofErr w:type="spellStart"/>
      <w:r w:rsidR="00B130AF">
        <w:t>WP5</w:t>
      </w:r>
      <w:proofErr w:type="spellEnd"/>
      <w:r w:rsidR="00B130AF">
        <w:t>(56)1 (2 October 1956) p 6) which they later repudiated by which time place of effective management was in art 8</w:t>
      </w:r>
      <w:r w:rsidR="00C62991">
        <w:t xml:space="preserve">; it </w:t>
      </w:r>
      <w:r w:rsidR="008E4BDE">
        <w:t xml:space="preserve">was </w:t>
      </w:r>
      <w:r w:rsidR="00C62991">
        <w:t xml:space="preserve">changed to residence in </w:t>
      </w:r>
      <w:r w:rsidR="008E4BDE">
        <w:t>2017</w:t>
      </w:r>
      <w:r w:rsidR="00B130AF">
        <w:t>.</w:t>
      </w:r>
      <w:r w:rsidR="002626CF">
        <w:t xml:space="preserve"> Some demarcation issues arose with shipping, for example whether incidental investment income was </w:t>
      </w:r>
      <w:r w:rsidR="00855401">
        <w:t>included in</w:t>
      </w:r>
      <w:r w:rsidR="002626CF">
        <w:t xml:space="preserve"> art 8, the FC deciding that it was not in order to secure withdrawal of reservations by three states (FC/M(57)2 (3 July 1957) p 3).</w:t>
      </w:r>
    </w:p>
  </w:footnote>
  <w:footnote w:id="80">
    <w:p w14:paraId="4CC57C56" w14:textId="24A2BF34" w:rsidR="00926E44" w:rsidRDefault="00926E44">
      <w:pPr>
        <w:pStyle w:val="FootnoteText"/>
      </w:pPr>
      <w:r>
        <w:rPr>
          <w:rStyle w:val="FootnoteReference"/>
        </w:rPr>
        <w:footnoteRef/>
      </w:r>
      <w:r>
        <w:t xml:space="preserve"> FC/</w:t>
      </w:r>
      <w:proofErr w:type="spellStart"/>
      <w:r>
        <w:t>WP2</w:t>
      </w:r>
      <w:proofErr w:type="spellEnd"/>
      <w:r>
        <w:t>(56)1 (2 October 1956</w:t>
      </w:r>
      <w:r w:rsidR="002119BD">
        <w:t>) and</w:t>
      </w:r>
      <w:r w:rsidR="00164280">
        <w:t xml:space="preserve"> see the summary in its second report </w:t>
      </w:r>
      <w:r w:rsidR="00164280" w:rsidRPr="00164280">
        <w:t>FC/</w:t>
      </w:r>
      <w:proofErr w:type="spellStart"/>
      <w:r w:rsidR="00164280" w:rsidRPr="00164280">
        <w:t>WP2</w:t>
      </w:r>
      <w:proofErr w:type="spellEnd"/>
      <w:r w:rsidR="00164280" w:rsidRPr="00164280">
        <w:t>(57)1</w:t>
      </w:r>
      <w:r w:rsidR="00164280">
        <w:t xml:space="preserve"> (27 May 1957) p 9</w:t>
      </w:r>
      <w:r w:rsidR="00757448">
        <w:t>.</w:t>
      </w:r>
      <w:r w:rsidR="002119BD">
        <w:t xml:space="preserve"> </w:t>
      </w:r>
      <w:proofErr w:type="spellStart"/>
      <w:r w:rsidR="002119BD">
        <w:t>WP2</w:t>
      </w:r>
      <w:proofErr w:type="spellEnd"/>
      <w:r w:rsidR="002119BD">
        <w:t xml:space="preserve"> did not deal with source-source conflicts.</w:t>
      </w:r>
    </w:p>
  </w:footnote>
  <w:footnote w:id="81">
    <w:p w14:paraId="5A630B98" w14:textId="161A1393" w:rsidR="00CA54C5" w:rsidRPr="006B48C3" w:rsidRDefault="00CA54C5" w:rsidP="006B48C3">
      <w:pPr>
        <w:pStyle w:val="FootnoteText"/>
        <w:rPr>
          <w:bCs/>
        </w:rPr>
      </w:pPr>
      <w:r>
        <w:rPr>
          <w:rStyle w:val="FootnoteReference"/>
        </w:rPr>
        <w:footnoteRef/>
      </w:r>
      <w:r>
        <w:t xml:space="preserve"> </w:t>
      </w:r>
      <w:r w:rsidRPr="00CA54C5">
        <w:rPr>
          <w:bCs/>
        </w:rPr>
        <w:t xml:space="preserve">FC/M(57)2 </w:t>
      </w:r>
      <w:r>
        <w:rPr>
          <w:bCs/>
        </w:rPr>
        <w:t>(</w:t>
      </w:r>
      <w:r w:rsidRPr="00CA54C5">
        <w:rPr>
          <w:bCs/>
        </w:rPr>
        <w:t>3 July 1957</w:t>
      </w:r>
      <w:r>
        <w:rPr>
          <w:bCs/>
        </w:rPr>
        <w:t>).</w:t>
      </w:r>
    </w:p>
  </w:footnote>
  <w:footnote w:id="82">
    <w:p w14:paraId="74796B2B" w14:textId="4F2CA543" w:rsidR="000B4A39" w:rsidRDefault="000B4A39">
      <w:pPr>
        <w:pStyle w:val="FootnoteText"/>
      </w:pPr>
      <w:r>
        <w:rPr>
          <w:rStyle w:val="FootnoteReference"/>
        </w:rPr>
        <w:footnoteRef/>
      </w:r>
      <w:r>
        <w:t xml:space="preserve"> </w:t>
      </w:r>
      <w:r w:rsidRPr="000B4A39">
        <w:t>FC/</w:t>
      </w:r>
      <w:proofErr w:type="spellStart"/>
      <w:r w:rsidRPr="000B4A39">
        <w:t>WP14</w:t>
      </w:r>
      <w:proofErr w:type="spellEnd"/>
      <w:r w:rsidRPr="000B4A39">
        <w:t>(59)1</w:t>
      </w:r>
      <w:r w:rsidR="006D45EB">
        <w:t xml:space="preserve"> (3 March 1959).</w:t>
      </w:r>
    </w:p>
  </w:footnote>
  <w:footnote w:id="83">
    <w:p w14:paraId="7AC8CC8B" w14:textId="7E9EA1AB" w:rsidR="009C12BB" w:rsidRDefault="009C12BB">
      <w:pPr>
        <w:pStyle w:val="FootnoteText"/>
      </w:pPr>
      <w:r>
        <w:rPr>
          <w:rStyle w:val="FootnoteReference"/>
        </w:rPr>
        <w:footnoteRef/>
      </w:r>
      <w:r>
        <w:t xml:space="preserve"> </w:t>
      </w:r>
      <w:r w:rsidRPr="009C12BB">
        <w:t>FC/</w:t>
      </w:r>
      <w:proofErr w:type="spellStart"/>
      <w:r w:rsidRPr="009C12BB">
        <w:t>WP2</w:t>
      </w:r>
      <w:proofErr w:type="spellEnd"/>
      <w:r w:rsidRPr="009C12BB">
        <w:t>(57)1</w:t>
      </w:r>
      <w:r>
        <w:t xml:space="preserve"> p 4.</w:t>
      </w:r>
    </w:p>
  </w:footnote>
  <w:footnote w:id="84">
    <w:p w14:paraId="3659F904" w14:textId="7A740279" w:rsidR="00421480" w:rsidRDefault="00421480">
      <w:pPr>
        <w:pStyle w:val="FootnoteText"/>
      </w:pPr>
      <w:r>
        <w:rPr>
          <w:rStyle w:val="FootnoteReference"/>
        </w:rPr>
        <w:footnoteRef/>
      </w:r>
      <w:r>
        <w:t xml:space="preserve"> </w:t>
      </w:r>
      <w:r w:rsidRPr="00421480">
        <w:t>FC/</w:t>
      </w:r>
      <w:proofErr w:type="spellStart"/>
      <w:r w:rsidRPr="00421480">
        <w:t>WP2</w:t>
      </w:r>
      <w:proofErr w:type="spellEnd"/>
      <w:r w:rsidRPr="00421480">
        <w:t>(57)1</w:t>
      </w:r>
      <w:r>
        <w:t xml:space="preserve"> (27 May 1957) art III.</w:t>
      </w:r>
    </w:p>
  </w:footnote>
  <w:footnote w:id="85">
    <w:p w14:paraId="0014AB12" w14:textId="764A1FCD" w:rsidR="001B5F72" w:rsidRDefault="001B5F72">
      <w:pPr>
        <w:pStyle w:val="FootnoteText"/>
      </w:pPr>
      <w:r>
        <w:rPr>
          <w:rStyle w:val="FootnoteReference"/>
        </w:rPr>
        <w:footnoteRef/>
      </w:r>
      <w:r>
        <w:t xml:space="preserve"> </w:t>
      </w:r>
      <w:r w:rsidRPr="001B5F72">
        <w:rPr>
          <w:lang w:val="en-AU"/>
        </w:rPr>
        <w:t>TFD/FC/130</w:t>
      </w:r>
      <w:r w:rsidR="00AF5F33">
        <w:rPr>
          <w:lang w:val="en-AU"/>
        </w:rPr>
        <w:t xml:space="preserve"> </w:t>
      </w:r>
      <w:r w:rsidR="00EF79F2">
        <w:rPr>
          <w:lang w:val="en-AU"/>
        </w:rPr>
        <w:t>(</w:t>
      </w:r>
      <w:r w:rsidR="00AF5F33">
        <w:rPr>
          <w:lang w:val="en-AU"/>
        </w:rPr>
        <w:t>24 July 1961)</w:t>
      </w:r>
      <w:r>
        <w:rPr>
          <w:lang w:val="en-AU"/>
        </w:rPr>
        <w:t>.</w:t>
      </w:r>
    </w:p>
  </w:footnote>
  <w:footnote w:id="86">
    <w:p w14:paraId="490E0BFF" w14:textId="0C71ABC6" w:rsidR="001B5F72" w:rsidRDefault="001B5F72">
      <w:pPr>
        <w:pStyle w:val="FootnoteText"/>
      </w:pPr>
      <w:r>
        <w:rPr>
          <w:rStyle w:val="FootnoteReference"/>
        </w:rPr>
        <w:footnoteRef/>
      </w:r>
      <w:r>
        <w:t xml:space="preserve"> </w:t>
      </w:r>
      <w:r w:rsidRPr="00A640CD">
        <w:rPr>
          <w:lang w:val="en-AU"/>
        </w:rPr>
        <w:t>TFD/FC/113</w:t>
      </w:r>
      <w:r w:rsidR="00737446">
        <w:rPr>
          <w:lang w:val="en-AU"/>
        </w:rPr>
        <w:t xml:space="preserve"> (7 March 1961)</w:t>
      </w:r>
      <w:r>
        <w:rPr>
          <w:lang w:val="en-AU"/>
        </w:rPr>
        <w:t>.</w:t>
      </w:r>
    </w:p>
  </w:footnote>
  <w:footnote w:id="87">
    <w:p w14:paraId="25FC94AD" w14:textId="65E2CA36" w:rsidR="00EF79F2" w:rsidRDefault="00EF79F2">
      <w:pPr>
        <w:pStyle w:val="FootnoteText"/>
      </w:pPr>
      <w:r>
        <w:rPr>
          <w:rStyle w:val="FootnoteReference"/>
        </w:rPr>
        <w:footnoteRef/>
      </w:r>
      <w:r>
        <w:t xml:space="preserve"> </w:t>
      </w:r>
      <w:proofErr w:type="spellStart"/>
      <w:r w:rsidRPr="003B1C0F">
        <w:rPr>
          <w:lang w:val="en-AU"/>
        </w:rPr>
        <w:t>Simontacchi</w:t>
      </w:r>
      <w:proofErr w:type="spellEnd"/>
      <w:r w:rsidRPr="003B1C0F">
        <w:rPr>
          <w:lang w:val="en-AU"/>
        </w:rPr>
        <w:t xml:space="preserve">, </w:t>
      </w:r>
      <w:r w:rsidRPr="003B1C0F">
        <w:rPr>
          <w:i/>
          <w:lang w:val="en-AU"/>
        </w:rPr>
        <w:t xml:space="preserve">Taxation of Capital Gains under the OECD Model Convention </w:t>
      </w:r>
      <w:r w:rsidRPr="003B1C0F">
        <w:rPr>
          <w:lang w:val="en-AU"/>
        </w:rPr>
        <w:t xml:space="preserve">(Kluwer, 2007) 1-119, </w:t>
      </w:r>
      <w:proofErr w:type="spellStart"/>
      <w:r w:rsidRPr="003B1C0F">
        <w:rPr>
          <w:lang w:val="en-AU"/>
        </w:rPr>
        <w:t>Pijl</w:t>
      </w:r>
      <w:proofErr w:type="spellEnd"/>
      <w:r w:rsidRPr="003B1C0F">
        <w:rPr>
          <w:lang w:val="en-AU"/>
        </w:rPr>
        <w:t xml:space="preserve">, “Capital Gains: The History of the Principle of Symmetry, the Internal Order of Article 13 and the Dynamic Interpretation of the Changes in the 2010 Commentary on ‘Forming Part’ and ‘Effectively Connected’” (2013) 5 </w:t>
      </w:r>
      <w:proofErr w:type="spellStart"/>
      <w:r w:rsidRPr="003B1C0F">
        <w:rPr>
          <w:lang w:val="en-AU"/>
        </w:rPr>
        <w:t>WTJ</w:t>
      </w:r>
      <w:proofErr w:type="spellEnd"/>
      <w:r w:rsidRPr="003B1C0F">
        <w:rPr>
          <w:lang w:val="en-AU"/>
        </w:rPr>
        <w:t xml:space="preserve"> 5-98.</w:t>
      </w:r>
    </w:p>
  </w:footnote>
  <w:footnote w:id="88">
    <w:p w14:paraId="02E2588A" w14:textId="0ABED31E" w:rsidR="001B5F72" w:rsidRDefault="001B5F72">
      <w:pPr>
        <w:pStyle w:val="FootnoteText"/>
      </w:pPr>
      <w:r>
        <w:rPr>
          <w:rStyle w:val="FootnoteReference"/>
        </w:rPr>
        <w:footnoteRef/>
      </w:r>
      <w:r>
        <w:t xml:space="preserve"> </w:t>
      </w:r>
      <w:r w:rsidRPr="00A640CD">
        <w:rPr>
          <w:lang w:val="en-AU"/>
        </w:rPr>
        <w:t>TFD/FC/132</w:t>
      </w:r>
      <w:r w:rsidR="00AF5F33">
        <w:rPr>
          <w:lang w:val="en-AU"/>
        </w:rPr>
        <w:t xml:space="preserve"> (12 </w:t>
      </w:r>
      <w:r w:rsidR="00737446">
        <w:rPr>
          <w:lang w:val="en-AU"/>
        </w:rPr>
        <w:t>September</w:t>
      </w:r>
      <w:r w:rsidR="00AF5F33">
        <w:rPr>
          <w:lang w:val="en-AU"/>
        </w:rPr>
        <w:t xml:space="preserve"> 1961)</w:t>
      </w:r>
      <w:r w:rsidR="00F36FF3">
        <w:rPr>
          <w:lang w:val="en-AU"/>
        </w:rPr>
        <w:t xml:space="preserve"> (list of articles only), TDF/FC/</w:t>
      </w:r>
      <w:proofErr w:type="spellStart"/>
      <w:r w:rsidR="00F36FF3">
        <w:rPr>
          <w:lang w:val="en-AU"/>
        </w:rPr>
        <w:t>137rev1</w:t>
      </w:r>
      <w:proofErr w:type="spellEnd"/>
      <w:r w:rsidR="00F36FF3">
        <w:rPr>
          <w:lang w:val="en-AU"/>
        </w:rPr>
        <w:t xml:space="preserve"> (26 </w:t>
      </w:r>
      <w:r w:rsidR="007B2871">
        <w:rPr>
          <w:lang w:val="en-AU"/>
        </w:rPr>
        <w:t>January</w:t>
      </w:r>
      <w:r w:rsidR="00F36FF3">
        <w:rPr>
          <w:lang w:val="en-AU"/>
        </w:rPr>
        <w:t xml:space="preserve"> 1962).</w:t>
      </w:r>
    </w:p>
  </w:footnote>
  <w:footnote w:id="89">
    <w:p w14:paraId="469294E6" w14:textId="1ED8EDF6" w:rsidR="00775155" w:rsidRDefault="00775155">
      <w:pPr>
        <w:pStyle w:val="FootnoteText"/>
      </w:pPr>
      <w:r>
        <w:rPr>
          <w:rStyle w:val="FootnoteReference"/>
        </w:rPr>
        <w:footnoteRef/>
      </w:r>
      <w:r>
        <w:t xml:space="preserve"> </w:t>
      </w:r>
      <w:r w:rsidRPr="00775155">
        <w:rPr>
          <w:lang w:val="en-AU"/>
        </w:rPr>
        <w:t>FC/M(63)2</w:t>
      </w:r>
      <w:r>
        <w:rPr>
          <w:lang w:val="en-AU"/>
        </w:rPr>
        <w:t xml:space="preserve"> </w:t>
      </w:r>
      <w:r w:rsidR="008330AF">
        <w:rPr>
          <w:lang w:val="en-AU"/>
        </w:rPr>
        <w:t xml:space="preserve">(13 February 1963), </w:t>
      </w:r>
      <w:r w:rsidRPr="00775155">
        <w:rPr>
          <w:lang w:val="en-AU"/>
        </w:rPr>
        <w:t>FC/M(63)3</w:t>
      </w:r>
      <w:r w:rsidR="008330AF">
        <w:rPr>
          <w:lang w:val="en-AU"/>
        </w:rPr>
        <w:t xml:space="preserve"> (28 </w:t>
      </w:r>
      <w:r w:rsidR="00303775">
        <w:rPr>
          <w:lang w:val="en-AU"/>
        </w:rPr>
        <w:t>M</w:t>
      </w:r>
      <w:r w:rsidR="008330AF">
        <w:rPr>
          <w:lang w:val="en-AU"/>
        </w:rPr>
        <w:t>arch 1963)</w:t>
      </w:r>
      <w:r>
        <w:rPr>
          <w:lang w:val="en-AU"/>
        </w:rPr>
        <w:t>.</w:t>
      </w:r>
    </w:p>
  </w:footnote>
  <w:footnote w:id="90">
    <w:p w14:paraId="32371A92" w14:textId="48A4CEC4" w:rsidR="00775155" w:rsidRDefault="00775155">
      <w:pPr>
        <w:pStyle w:val="FootnoteText"/>
      </w:pPr>
      <w:r>
        <w:rPr>
          <w:rStyle w:val="FootnoteReference"/>
        </w:rPr>
        <w:footnoteRef/>
      </w:r>
      <w:r>
        <w:t xml:space="preserve"> </w:t>
      </w:r>
      <w:r w:rsidRPr="00613039">
        <w:rPr>
          <w:lang w:val="en-AU"/>
        </w:rPr>
        <w:t xml:space="preserve">OECD/FC/M(61)1 </w:t>
      </w:r>
      <w:r>
        <w:rPr>
          <w:lang w:val="en-AU"/>
        </w:rPr>
        <w:t>(</w:t>
      </w:r>
      <w:r w:rsidR="0079206D">
        <w:rPr>
          <w:lang w:val="en-AU"/>
        </w:rPr>
        <w:t xml:space="preserve">31 </w:t>
      </w:r>
      <w:r>
        <w:rPr>
          <w:lang w:val="en-AU"/>
        </w:rPr>
        <w:t>December 1961</w:t>
      </w:r>
      <w:r w:rsidR="0079206D">
        <w:rPr>
          <w:lang w:val="en-AU"/>
        </w:rPr>
        <w:t xml:space="preserve"> – date in French version only</w:t>
      </w:r>
      <w:r>
        <w:rPr>
          <w:lang w:val="en-AU"/>
        </w:rPr>
        <w:t xml:space="preserve">) </w:t>
      </w:r>
      <w:r w:rsidRPr="00613039">
        <w:rPr>
          <w:lang w:val="en-AU"/>
        </w:rPr>
        <w:t>page 3</w:t>
      </w:r>
      <w:r>
        <w:rPr>
          <w:lang w:val="en-AU"/>
        </w:rPr>
        <w:t>.</w:t>
      </w:r>
    </w:p>
  </w:footnote>
  <w:footnote w:id="91">
    <w:p w14:paraId="4725354D" w14:textId="56CB3276" w:rsidR="00775155" w:rsidRDefault="00775155">
      <w:pPr>
        <w:pStyle w:val="FootnoteText"/>
      </w:pPr>
      <w:r>
        <w:rPr>
          <w:rStyle w:val="FootnoteReference"/>
        </w:rPr>
        <w:footnoteRef/>
      </w:r>
      <w:r>
        <w:t xml:space="preserve"> </w:t>
      </w:r>
      <w:r w:rsidRPr="00613039">
        <w:rPr>
          <w:lang w:val="en-AU"/>
        </w:rPr>
        <w:t xml:space="preserve">TFD/FC/158 </w:t>
      </w:r>
      <w:r>
        <w:rPr>
          <w:lang w:val="en-AU"/>
        </w:rPr>
        <w:t>(22 May 1963)</w:t>
      </w:r>
      <w:r w:rsidR="008330AF">
        <w:rPr>
          <w:lang w:val="en-AU"/>
        </w:rPr>
        <w:t>.</w:t>
      </w:r>
    </w:p>
  </w:footnote>
  <w:footnote w:id="92">
    <w:p w14:paraId="760D29A1" w14:textId="188F7E10" w:rsidR="008330AF" w:rsidRDefault="008330AF">
      <w:pPr>
        <w:pStyle w:val="FootnoteText"/>
      </w:pPr>
      <w:r>
        <w:rPr>
          <w:rStyle w:val="FootnoteReference"/>
        </w:rPr>
        <w:footnoteRef/>
      </w:r>
      <w:r>
        <w:t xml:space="preserve"> </w:t>
      </w:r>
      <w:r w:rsidRPr="008330AF">
        <w:rPr>
          <w:lang w:val="en-AU"/>
        </w:rPr>
        <w:t>TFD/FC/160 (25 May 1963)</w:t>
      </w:r>
      <w:r>
        <w:rPr>
          <w:lang w:val="en-AU"/>
        </w:rPr>
        <w:t>.</w:t>
      </w:r>
    </w:p>
  </w:footnote>
  <w:footnote w:id="93">
    <w:p w14:paraId="16D7F6E8" w14:textId="78E7634A" w:rsidR="008330AF" w:rsidRDefault="008330AF">
      <w:pPr>
        <w:pStyle w:val="FootnoteText"/>
      </w:pPr>
      <w:r>
        <w:rPr>
          <w:rStyle w:val="FootnoteReference"/>
        </w:rPr>
        <w:footnoteRef/>
      </w:r>
      <w:r>
        <w:t xml:space="preserve"> </w:t>
      </w:r>
      <w:r w:rsidRPr="008330AF">
        <w:rPr>
          <w:lang w:val="en-AU"/>
        </w:rPr>
        <w:t>TFD/FC/159</w:t>
      </w:r>
      <w:r>
        <w:rPr>
          <w:lang w:val="en-AU"/>
        </w:rPr>
        <w:t xml:space="preserve"> (25 May 1963).</w:t>
      </w:r>
    </w:p>
  </w:footnote>
  <w:footnote w:id="94">
    <w:p w14:paraId="7D1D116B" w14:textId="4E2EBF3C" w:rsidR="008330AF" w:rsidRDefault="008330AF">
      <w:pPr>
        <w:pStyle w:val="FootnoteText"/>
      </w:pPr>
      <w:r>
        <w:rPr>
          <w:rStyle w:val="FootnoteReference"/>
        </w:rPr>
        <w:footnoteRef/>
      </w:r>
      <w:r>
        <w:t xml:space="preserve"> </w:t>
      </w:r>
      <w:r w:rsidRPr="00613039">
        <w:rPr>
          <w:lang w:val="en-AU"/>
        </w:rPr>
        <w:t xml:space="preserve">TFD/FC/160 </w:t>
      </w:r>
      <w:r>
        <w:rPr>
          <w:lang w:val="en-AU"/>
        </w:rPr>
        <w:t xml:space="preserve">(25 </w:t>
      </w:r>
      <w:r w:rsidR="00010B82">
        <w:rPr>
          <w:lang w:val="en-AU"/>
        </w:rPr>
        <w:t>May</w:t>
      </w:r>
      <w:r>
        <w:rPr>
          <w:lang w:val="en-AU"/>
        </w:rPr>
        <w:t xml:space="preserve"> 1963) </w:t>
      </w:r>
      <w:r w:rsidRPr="00613039">
        <w:rPr>
          <w:lang w:val="en-AU"/>
        </w:rPr>
        <w:t>p 1.</w:t>
      </w:r>
    </w:p>
  </w:footnote>
  <w:footnote w:id="95">
    <w:p w14:paraId="13D0F0A3" w14:textId="1B11CA68" w:rsidR="00AE5410" w:rsidRDefault="00AE5410" w:rsidP="00AE5410">
      <w:pPr>
        <w:pStyle w:val="FootnoteText"/>
      </w:pPr>
      <w:r>
        <w:rPr>
          <w:rStyle w:val="FootnoteReference"/>
        </w:rPr>
        <w:footnoteRef/>
      </w:r>
      <w:r>
        <w:t xml:space="preserve"> Report on Double Taxation by Professors Bruins, Einaudi, Seligman and Sir Josiah Stamp, League of Nations 1923, 45. See </w:t>
      </w:r>
      <w:proofErr w:type="spellStart"/>
      <w:r>
        <w:t>JFAJ</w:t>
      </w:r>
      <w:proofErr w:type="spellEnd"/>
      <w:r>
        <w:t>, ‘</w:t>
      </w:r>
      <w:r w:rsidRPr="00AE5410">
        <w:t>Sir Josiah Stamp and Double Income Tax</w:t>
      </w:r>
      <w:r>
        <w:t>’</w:t>
      </w:r>
      <w:r w:rsidRPr="00AE5410">
        <w:t xml:space="preserve"> in </w:t>
      </w:r>
      <w:r w:rsidRPr="00AE5410">
        <w:rPr>
          <w:i/>
        </w:rPr>
        <w:t>Studies in the History of Tax Law</w:t>
      </w:r>
      <w:r w:rsidRPr="00AE5410">
        <w:t xml:space="preserve"> vol 6, ed John </w:t>
      </w:r>
      <w:proofErr w:type="spellStart"/>
      <w:r w:rsidRPr="00AE5410">
        <w:t>Tiley</w:t>
      </w:r>
      <w:proofErr w:type="spellEnd"/>
      <w:r w:rsidRPr="00AE5410">
        <w:t>, Hart 2013 Ch 1 p 1</w:t>
      </w:r>
    </w:p>
  </w:footnote>
  <w:footnote w:id="96">
    <w:p w14:paraId="05385962" w14:textId="0DF5D7CC" w:rsidR="002047C4" w:rsidRDefault="002047C4">
      <w:pPr>
        <w:pStyle w:val="FootnoteText"/>
      </w:pPr>
      <w:r>
        <w:rPr>
          <w:rStyle w:val="FootnoteReference"/>
        </w:rPr>
        <w:footnoteRef/>
      </w:r>
      <w:r>
        <w:t xml:space="preserve"> We can ignore the third which only the US and UK wanted.</w:t>
      </w:r>
    </w:p>
  </w:footnote>
  <w:footnote w:id="97">
    <w:p w14:paraId="2CA2E3B4" w14:textId="3B1DEE78" w:rsidR="00962BD3" w:rsidRDefault="00962BD3">
      <w:pPr>
        <w:pStyle w:val="FootnoteText"/>
      </w:pPr>
      <w:r>
        <w:rPr>
          <w:rStyle w:val="FootnoteReference"/>
        </w:rPr>
        <w:footnoteRef/>
      </w:r>
      <w:r>
        <w:t xml:space="preserve"> See </w:t>
      </w:r>
      <w:proofErr w:type="spellStart"/>
      <w:r w:rsidR="00201362">
        <w:t>n</w:t>
      </w:r>
      <w:proofErr w:type="spellEnd"/>
      <w:r w:rsidR="00201362">
        <w:t xml:space="preserve"> </w:t>
      </w:r>
      <w:r w:rsidR="00201362">
        <w:fldChar w:fldCharType="begin"/>
      </w:r>
      <w:r w:rsidR="00201362">
        <w:instrText xml:space="preserve"> NOTEREF _Ref85615112 \h </w:instrText>
      </w:r>
      <w:r w:rsidR="00201362">
        <w:fldChar w:fldCharType="separate"/>
      </w:r>
      <w:r w:rsidR="001C0502">
        <w:t>56</w:t>
      </w:r>
      <w:r w:rsidR="00201362">
        <w:fldChar w:fldCharType="end"/>
      </w:r>
      <w:r w:rsidR="00201362">
        <w:t xml:space="preserve"> </w:t>
      </w:r>
      <w:r>
        <w:t>where</w:t>
      </w:r>
      <w:r w:rsidR="00C926FD">
        <w:t>,</w:t>
      </w:r>
      <w:r>
        <w:t xml:space="preserve"> as long before as 1959</w:t>
      </w:r>
      <w:r w:rsidR="00C926FD">
        <w:t>,</w:t>
      </w:r>
      <w:r>
        <w:t xml:space="preserve"> </w:t>
      </w:r>
      <w:r w:rsidR="00201362">
        <w:t xml:space="preserve">the proposed (but never adopted) general principle was restricted to income arising within the two states, and </w:t>
      </w:r>
      <w:proofErr w:type="spellStart"/>
      <w:r w:rsidR="00201362">
        <w:t>n</w:t>
      </w:r>
      <w:proofErr w:type="spellEnd"/>
      <w:r w:rsidR="00201362">
        <w:t xml:space="preserve"> </w:t>
      </w:r>
      <w:r w:rsidR="00201362">
        <w:fldChar w:fldCharType="begin"/>
      </w:r>
      <w:r w:rsidR="00201362">
        <w:instrText xml:space="preserve"> NOTEREF _Ref82006316 \h </w:instrText>
      </w:r>
      <w:r w:rsidR="00201362">
        <w:fldChar w:fldCharType="separate"/>
      </w:r>
      <w:r w:rsidR="001C0502">
        <w:t>58</w:t>
      </w:r>
      <w:r w:rsidR="00201362">
        <w:fldChar w:fldCharType="end"/>
      </w:r>
      <w:r w:rsidR="00201362">
        <w:t xml:space="preserve"> where </w:t>
      </w:r>
      <w:r>
        <w:t xml:space="preserve">the German delegate considered </w:t>
      </w:r>
      <w:r w:rsidR="00201362">
        <w:t xml:space="preserve">that it </w:t>
      </w:r>
      <w:r>
        <w:t xml:space="preserve">should cover third state income. It </w:t>
      </w:r>
      <w:r w:rsidR="00201362">
        <w:t xml:space="preserve">may be relevant </w:t>
      </w:r>
      <w:r>
        <w:t xml:space="preserve">that Germany had an income tax rather than </w:t>
      </w:r>
      <w:proofErr w:type="spellStart"/>
      <w:r w:rsidRPr="00962BD3">
        <w:rPr>
          <w:i/>
          <w:iCs/>
        </w:rPr>
        <w:t>impôts</w:t>
      </w:r>
      <w:proofErr w:type="spellEnd"/>
      <w:r w:rsidRPr="00962BD3">
        <w:rPr>
          <w:i/>
          <w:iCs/>
        </w:rPr>
        <w:t xml:space="preserve"> </w:t>
      </w:r>
      <w:r>
        <w:rPr>
          <w:i/>
          <w:iCs/>
        </w:rPr>
        <w:t>reels.</w:t>
      </w:r>
    </w:p>
  </w:footnote>
  <w:footnote w:id="98">
    <w:p w14:paraId="483D43B3" w14:textId="1EF01A3F" w:rsidR="00137320" w:rsidRDefault="00137320">
      <w:pPr>
        <w:pStyle w:val="FootnoteText"/>
      </w:pPr>
      <w:r>
        <w:rPr>
          <w:rStyle w:val="FootnoteReference"/>
        </w:rPr>
        <w:footnoteRef/>
      </w:r>
      <w:r>
        <w:t xml:space="preserve"> </w:t>
      </w:r>
      <w:r w:rsidRPr="00137320">
        <w:t>DAF/CFA/</w:t>
      </w:r>
      <w:proofErr w:type="spellStart"/>
      <w:r w:rsidRPr="00137320">
        <w:t>WP1</w:t>
      </w:r>
      <w:proofErr w:type="spellEnd"/>
      <w:r w:rsidRPr="00137320">
        <w:t>(73)8 (5 July 1973).</w:t>
      </w:r>
      <w:r>
        <w:t xml:space="preserve"> No minutes </w:t>
      </w:r>
      <w:r w:rsidR="00AA1E94">
        <w:t>are</w:t>
      </w:r>
      <w:r>
        <w:t xml:space="preserve"> available which seems to be normal practice at the time; the only record is this summary of discussions. </w:t>
      </w:r>
      <w:bookmarkStart w:id="19" w:name="_Hlk81938371"/>
      <w:r w:rsidR="00ED1002">
        <w:t xml:space="preserve">The new </w:t>
      </w:r>
      <w:proofErr w:type="spellStart"/>
      <w:r w:rsidR="00ED1002">
        <w:t>WP1</w:t>
      </w:r>
      <w:proofErr w:type="spellEnd"/>
      <w:r w:rsidR="00ED1002">
        <w:t xml:space="preserve"> in charge of treaties was set up by the Committee on Fiscal Affairs by </w:t>
      </w:r>
      <w:r w:rsidR="00ED1002" w:rsidRPr="00ED1002">
        <w:t>CFA/M(71)1</w:t>
      </w:r>
      <w:r w:rsidR="00ED1002">
        <w:t xml:space="preserve"> (7 June 1971) p 5 which confirms that all member states were members of </w:t>
      </w:r>
      <w:proofErr w:type="spellStart"/>
      <w:r w:rsidR="00ED1002">
        <w:t>WP1</w:t>
      </w:r>
      <w:proofErr w:type="spellEnd"/>
      <w:r w:rsidR="00ED1002">
        <w:t>.</w:t>
      </w:r>
      <w:bookmarkEnd w:id="19"/>
      <w:r w:rsidR="005D32CC">
        <w:t xml:space="preserve"> </w:t>
      </w:r>
    </w:p>
  </w:footnote>
  <w:footnote w:id="99">
    <w:p w14:paraId="5CF61C90" w14:textId="032DBBAE" w:rsidR="005D32CC" w:rsidRDefault="005D32CC">
      <w:pPr>
        <w:pStyle w:val="FootnoteText"/>
      </w:pPr>
      <w:r>
        <w:rPr>
          <w:rStyle w:val="FootnoteReference"/>
        </w:rPr>
        <w:footnoteRef/>
      </w:r>
      <w:r>
        <w:t xml:space="preserve"> Treaties </w:t>
      </w:r>
      <w:r w:rsidRPr="005D32CC">
        <w:t xml:space="preserve">with Belgium (1967), the Netherlands (1967), France (1968), Swaziland (1968), Portugal (1968), Finland (1969), Norway (1969), Barbados (1970), Japan (1969, differently worded), and Zambia (1972). </w:t>
      </w:r>
      <w:r>
        <w:t>However, t</w:t>
      </w:r>
      <w:r w:rsidRPr="005D32CC">
        <w:t>he UK treaties during this period with Australia (1967, no art 21 equivalent), Luxembourg (1967), South Africa (1968) and Austria (1969) do not contain this change.</w:t>
      </w:r>
      <w:r>
        <w:t xml:space="preserve"> </w:t>
      </w:r>
      <w:r w:rsidR="00185746">
        <w:t xml:space="preserve">The UK therefore disagreed with the consequence of this interpretation and changed it whenever possible. </w:t>
      </w:r>
      <w:r>
        <w:t xml:space="preserve">It may be relevant that at the time it was easy for an individual to become resident in the UK in domestic law which is likely to have resulted in the UK </w:t>
      </w:r>
      <w:r w:rsidR="00226637">
        <w:t xml:space="preserve">often </w:t>
      </w:r>
      <w:r>
        <w:t>being the loser state, thus making it more important that art 21 prevented taxation on a residence basis.</w:t>
      </w:r>
    </w:p>
  </w:footnote>
  <w:footnote w:id="100">
    <w:p w14:paraId="7AE4010F" w14:textId="77777777" w:rsidR="00321C3C" w:rsidRPr="00FB5797" w:rsidRDefault="00321C3C" w:rsidP="00321C3C">
      <w:pPr>
        <w:pStyle w:val="FootnoteText"/>
      </w:pPr>
      <w:r>
        <w:rPr>
          <w:rStyle w:val="FootnoteReference"/>
        </w:rPr>
        <w:footnoteRef/>
      </w:r>
      <w:r>
        <w:t xml:space="preserve"> </w:t>
      </w:r>
      <w:r w:rsidRPr="00FB5797">
        <w:t>DAF/CFA/73.2 (10 October 1973)</w:t>
      </w:r>
      <w:r>
        <w:t xml:space="preserve">, revised </w:t>
      </w:r>
      <w:r w:rsidRPr="000D1C19">
        <w:t>CFA/</w:t>
      </w:r>
      <w:proofErr w:type="spellStart"/>
      <w:r w:rsidRPr="000D1C19">
        <w:t>WP1</w:t>
      </w:r>
      <w:proofErr w:type="spellEnd"/>
      <w:r w:rsidRPr="000D1C19">
        <w:t>(73)11</w:t>
      </w:r>
      <w:r>
        <w:t xml:space="preserve"> (5 November 1973), approved by </w:t>
      </w:r>
      <w:proofErr w:type="spellStart"/>
      <w:r>
        <w:t>WP1</w:t>
      </w:r>
      <w:proofErr w:type="spellEnd"/>
      <w:r>
        <w:t xml:space="preserve"> in </w:t>
      </w:r>
      <w:r w:rsidRPr="00431299">
        <w:t>DAF/CFA/</w:t>
      </w:r>
      <w:proofErr w:type="spellStart"/>
      <w:r w:rsidRPr="00431299">
        <w:t>WP1</w:t>
      </w:r>
      <w:proofErr w:type="spellEnd"/>
      <w:r w:rsidRPr="00431299">
        <w:t>(74)2</w:t>
      </w:r>
      <w:r>
        <w:t xml:space="preserve"> (14 January 1974).</w:t>
      </w:r>
    </w:p>
  </w:footnote>
  <w:footnote w:id="101">
    <w:p w14:paraId="610D481F" w14:textId="7110AEBE" w:rsidR="00B078F1" w:rsidRDefault="00B078F1" w:rsidP="00B078F1">
      <w:pPr>
        <w:pStyle w:val="FootnoteText"/>
      </w:pPr>
      <w:r>
        <w:rPr>
          <w:rStyle w:val="FootnoteReference"/>
        </w:rPr>
        <w:footnoteRef/>
      </w:r>
      <w:r>
        <w:t xml:space="preserve"> The other</w:t>
      </w:r>
      <w:r w:rsidR="00E5167D">
        <w:t xml:space="preserve"> articles</w:t>
      </w:r>
      <w:r>
        <w:t xml:space="preserve"> were two provisions relating to immovable property arts 13(1) and 22(1), and two others, arts 17 (entertainers) and 22(2) (capital taxes on a </w:t>
      </w:r>
      <w:r w:rsidR="0051088D">
        <w:t>PE</w:t>
      </w:r>
      <w:r w:rsidR="00C1151F">
        <w:t xml:space="preserve">, which may have been a mistake as art 7 applied to </w:t>
      </w:r>
      <w:r w:rsidR="00384B95">
        <w:t>‘</w:t>
      </w:r>
      <w:r w:rsidR="00C1151F">
        <w:t>an enterprise of a contracting state</w:t>
      </w:r>
      <w:r w:rsidR="00384B95">
        <w:t>’ (the definition of which imported residence)</w:t>
      </w:r>
      <w:r w:rsidR="0074079F">
        <w:t xml:space="preserve"> but art 22(2) </w:t>
      </w:r>
      <w:r w:rsidR="00384B95">
        <w:t xml:space="preserve">merely </w:t>
      </w:r>
      <w:r w:rsidR="0074079F">
        <w:t xml:space="preserve">said </w:t>
      </w:r>
      <w:r w:rsidR="00384B95">
        <w:t>‘</w:t>
      </w:r>
      <w:r w:rsidR="0074079F">
        <w:t>of an enterprise</w:t>
      </w:r>
      <w:r w:rsidR="00384B95">
        <w:t>’</w:t>
      </w:r>
      <w:r>
        <w:t>).</w:t>
      </w:r>
    </w:p>
  </w:footnote>
  <w:footnote w:id="102">
    <w:p w14:paraId="5594A826" w14:textId="77777777" w:rsidR="00B078F1" w:rsidRDefault="00B078F1" w:rsidP="00B078F1">
      <w:pPr>
        <w:pStyle w:val="FootnoteText"/>
      </w:pPr>
      <w:r>
        <w:rPr>
          <w:rStyle w:val="FootnoteReference"/>
        </w:rPr>
        <w:footnoteRef/>
      </w:r>
      <w:r>
        <w:t xml:space="preserve"> </w:t>
      </w:r>
      <w:r w:rsidRPr="009C2C1B">
        <w:t>CFA/</w:t>
      </w:r>
      <w:proofErr w:type="spellStart"/>
      <w:r w:rsidRPr="009C2C1B">
        <w:t>WP1</w:t>
      </w:r>
      <w:proofErr w:type="spellEnd"/>
      <w:r w:rsidRPr="009C2C1B">
        <w:t>(75)5</w:t>
      </w:r>
      <w:r>
        <w:t xml:space="preserve"> (12 September 1975) at [6].</w:t>
      </w:r>
    </w:p>
  </w:footnote>
  <w:footnote w:id="103">
    <w:p w14:paraId="197188DC" w14:textId="3937098B" w:rsidR="00AE5410" w:rsidRDefault="00AE5410">
      <w:pPr>
        <w:pStyle w:val="FootnoteText"/>
      </w:pPr>
      <w:r>
        <w:rPr>
          <w:rStyle w:val="FootnoteReference"/>
        </w:rPr>
        <w:footnoteRef/>
      </w:r>
      <w:r>
        <w:t xml:space="preserve"> </w:t>
      </w:r>
      <w:r w:rsidR="00083802">
        <w:t>See the third solution below.</w:t>
      </w:r>
    </w:p>
  </w:footnote>
  <w:footnote w:id="104">
    <w:p w14:paraId="3C6269D0" w14:textId="7C2189F7" w:rsidR="00AE5410" w:rsidRDefault="00AE5410">
      <w:pPr>
        <w:pStyle w:val="FootnoteText"/>
      </w:pPr>
      <w:r>
        <w:rPr>
          <w:rStyle w:val="FootnoteReference"/>
        </w:rPr>
        <w:footnoteRef/>
      </w:r>
      <w:r>
        <w:t xml:space="preserve"> </w:t>
      </w:r>
      <w:r w:rsidR="008241E9">
        <w:t xml:space="preserve">See n </w:t>
      </w:r>
      <w:r w:rsidR="008241E9">
        <w:fldChar w:fldCharType="begin"/>
      </w:r>
      <w:r w:rsidR="008241E9">
        <w:instrText xml:space="preserve"> NOTEREF _Ref82005929 \h </w:instrText>
      </w:r>
      <w:r w:rsidR="008241E9">
        <w:fldChar w:fldCharType="separate"/>
      </w:r>
      <w:r w:rsidR="001C0502">
        <w:t>101</w:t>
      </w:r>
      <w:r w:rsidR="008241E9">
        <w:fldChar w:fldCharType="end"/>
      </w:r>
      <w:r w:rsidR="008241E9">
        <w:t xml:space="preserve"> for the articles concerned. </w:t>
      </w:r>
      <w:r>
        <w:t xml:space="preserve">This the opposite of the earlier proposal to remove the reference to residence from art 15 to bring it into line with art 6, see </w:t>
      </w:r>
      <w:proofErr w:type="spellStart"/>
      <w:r>
        <w:t>n</w:t>
      </w:r>
      <w:proofErr w:type="spellEnd"/>
      <w:r>
        <w:t xml:space="preserve"> </w:t>
      </w:r>
      <w:r>
        <w:fldChar w:fldCharType="begin"/>
      </w:r>
      <w:r>
        <w:instrText xml:space="preserve"> NOTEREF _Ref81984241 \h </w:instrText>
      </w:r>
      <w:r>
        <w:fldChar w:fldCharType="separate"/>
      </w:r>
      <w:r w:rsidR="001C0502">
        <w:t>43</w:t>
      </w:r>
      <w:r>
        <w:fldChar w:fldCharType="end"/>
      </w:r>
      <w:r>
        <w:t>.</w:t>
      </w:r>
    </w:p>
  </w:footnote>
  <w:footnote w:id="105">
    <w:p w14:paraId="1525072D" w14:textId="1A985332" w:rsidR="00941946" w:rsidRDefault="00941946">
      <w:pPr>
        <w:pStyle w:val="FootnoteText"/>
      </w:pPr>
      <w:r>
        <w:rPr>
          <w:rStyle w:val="FootnoteReference"/>
        </w:rPr>
        <w:footnoteRef/>
      </w:r>
      <w:r>
        <w:t xml:space="preserve"> Art 16 (directors’ fees) was already </w:t>
      </w:r>
      <w:r w:rsidR="009F4EB0">
        <w:t xml:space="preserve">in the 1963 Draft </w:t>
      </w:r>
      <w:r>
        <w:t>in similar form to the revised art 6 so it was strange that it did not contain ‘shall be taxable only’ for cases where the company was not a resident of the other state</w:t>
      </w:r>
      <w:r w:rsidR="00580F9A">
        <w:t xml:space="preserve"> even though it was drafted by the same Working Party as arts 14, 15, 17, 18 and 19</w:t>
      </w:r>
      <w:r>
        <w:t>. This</w:t>
      </w:r>
      <w:r w:rsidR="00580F9A">
        <w:t xml:space="preserve"> may be because the </w:t>
      </w:r>
      <w:r w:rsidR="00580F9A" w:rsidRPr="00580F9A">
        <w:t xml:space="preserve">original version said ‘shall be taxable only’ in OS </w:t>
      </w:r>
      <w:r w:rsidR="00B5365C">
        <w:t>[not yet defined]</w:t>
      </w:r>
      <w:r w:rsidR="0026431A">
        <w:t xml:space="preserve"> </w:t>
      </w:r>
      <w:r w:rsidR="00580F9A" w:rsidRPr="00580F9A">
        <w:t>which was changed to ‘may be taxed’ in OS by the Drafting Group</w:t>
      </w:r>
      <w:r w:rsidR="00580F9A">
        <w:t xml:space="preserve"> (the same </w:t>
      </w:r>
      <w:r w:rsidR="002C2210">
        <w:t xml:space="preserve">change was </w:t>
      </w:r>
      <w:r w:rsidR="00580F9A">
        <w:t xml:space="preserve">also </w:t>
      </w:r>
      <w:r w:rsidR="002C2210">
        <w:t>made</w:t>
      </w:r>
      <w:r w:rsidR="00580F9A">
        <w:t xml:space="preserve"> to art 6)</w:t>
      </w:r>
      <w:r w:rsidR="002C2210">
        <w:t xml:space="preserve">. See </w:t>
      </w:r>
      <w:r w:rsidR="002C2210" w:rsidRPr="002C2210">
        <w:t xml:space="preserve">FC(58)7 (30 December 1958) for the original version containing a footnote saying that </w:t>
      </w:r>
      <w:r w:rsidR="002C2210">
        <w:t xml:space="preserve">the wording </w:t>
      </w:r>
      <w:r w:rsidR="002C2210" w:rsidRPr="002C2210">
        <w:t>did not prejudge the method of avoiding double taxation</w:t>
      </w:r>
      <w:r>
        <w:t>.</w:t>
      </w:r>
    </w:p>
  </w:footnote>
  <w:footnote w:id="106">
    <w:p w14:paraId="2A2A93B1" w14:textId="128C0074" w:rsidR="009C2D81" w:rsidRDefault="009C2D81" w:rsidP="009C2D81">
      <w:pPr>
        <w:pStyle w:val="FootnoteText"/>
      </w:pPr>
      <w:r>
        <w:rPr>
          <w:rStyle w:val="FootnoteReference"/>
        </w:rPr>
        <w:footnoteRef/>
      </w:r>
      <w:r>
        <w:t xml:space="preserve"> </w:t>
      </w:r>
      <w:proofErr w:type="spellStart"/>
      <w:r>
        <w:t>WP27</w:t>
      </w:r>
      <w:proofErr w:type="spellEnd"/>
      <w:r>
        <w:t xml:space="preserve"> considered that deleting the reference to domestic law in the interest article ‘</w:t>
      </w:r>
      <w:r w:rsidRPr="00BA3B73">
        <w:t>would offer greater security from the legal point of view, in that the State of source would be able to exercise its limited right to tax only in respect of interest defined as such in paragraph 3</w:t>
      </w:r>
      <w:r>
        <w:t>.’ (FC/</w:t>
      </w:r>
      <w:proofErr w:type="spellStart"/>
      <w:r>
        <w:t>WP27</w:t>
      </w:r>
      <w:proofErr w:type="spellEnd"/>
      <w:r>
        <w:t>(68)1 (30 December 1968)). They recommended this in FC/</w:t>
      </w:r>
      <w:proofErr w:type="spellStart"/>
      <w:r>
        <w:t>WP27</w:t>
      </w:r>
      <w:proofErr w:type="spellEnd"/>
      <w:r>
        <w:t xml:space="preserve">(70)1 (16 February 1970) and </w:t>
      </w:r>
      <w:r w:rsidR="00B54FF3">
        <w:t xml:space="preserve">in </w:t>
      </w:r>
      <w:r>
        <w:t>FC/</w:t>
      </w:r>
      <w:proofErr w:type="spellStart"/>
      <w:r>
        <w:t>WP27</w:t>
      </w:r>
      <w:proofErr w:type="spellEnd"/>
      <w:r>
        <w:t xml:space="preserve">(70)2 (4 November 1970) giving as reasons that the definition covered practically all kinds of income covered by domestic law; it would ensure that treaties were unaffected by changes in domestic law; and references to domestic law should as far as possible be avoided. The minutes of the FC’s meeting in </w:t>
      </w:r>
      <w:r>
        <w:rPr>
          <w:u w:val="double"/>
        </w:rPr>
        <w:t xml:space="preserve">December 1970 </w:t>
      </w:r>
      <w:r>
        <w:t xml:space="preserve">where this was discussed appear to be missing. The result following that meeting is at FC(71)1 (14 January 1971). </w:t>
      </w:r>
    </w:p>
  </w:footnote>
  <w:footnote w:id="107">
    <w:p w14:paraId="129B7AAC" w14:textId="7F67B14E" w:rsidR="00705313" w:rsidRDefault="00705313" w:rsidP="00705313">
      <w:pPr>
        <w:pStyle w:val="FootnoteText"/>
      </w:pPr>
      <w:r>
        <w:rPr>
          <w:rStyle w:val="FootnoteReference"/>
        </w:rPr>
        <w:footnoteRef/>
      </w:r>
      <w:r>
        <w:t xml:space="preserve"> See our article (with other authors) </w:t>
      </w:r>
      <w:r w:rsidRPr="00DE3601">
        <w:rPr>
          <w:i/>
          <w:iCs/>
        </w:rPr>
        <w:t>The Definitions of Dividends and Interest in the OECD Model: Something Lost in Translation?</w:t>
      </w:r>
      <w:r>
        <w:t xml:space="preserve"> [2009] </w:t>
      </w:r>
      <w:proofErr w:type="spellStart"/>
      <w:r>
        <w:t>BTR</w:t>
      </w:r>
      <w:proofErr w:type="spellEnd"/>
      <w:r>
        <w:t xml:space="preserve"> 406,</w:t>
      </w:r>
      <w:r w:rsidRPr="00DE3601">
        <w:rPr>
          <w:snapToGrid w:val="0"/>
          <w:szCs w:val="24"/>
        </w:rPr>
        <w:t xml:space="preserve"> </w:t>
      </w:r>
      <w:r w:rsidRPr="00DE3601">
        <w:t>World Tax Journal Vol 1 Issue 1</w:t>
      </w:r>
      <w:r w:rsidR="00F30F53">
        <w:t xml:space="preserve"> under the heading </w:t>
      </w:r>
      <w:r w:rsidR="00F30F53" w:rsidRPr="00EC0190">
        <w:rPr>
          <w:i/>
          <w:iCs/>
        </w:rPr>
        <w:t>Treaties that deal with the relationship between Articles 10 and 11</w:t>
      </w:r>
      <w:r>
        <w:t>.</w:t>
      </w:r>
    </w:p>
  </w:footnote>
  <w:footnote w:id="108">
    <w:p w14:paraId="66E3BCF5" w14:textId="00B1D174" w:rsidR="00083802" w:rsidRDefault="00083802" w:rsidP="00083802">
      <w:pPr>
        <w:pStyle w:val="FootnoteText"/>
      </w:pPr>
      <w:r>
        <w:rPr>
          <w:rStyle w:val="FootnoteReference"/>
        </w:rPr>
        <w:footnoteRef/>
      </w:r>
      <w:r>
        <w:t xml:space="preserve"> Countries where this is not true can </w:t>
      </w:r>
      <w:r w:rsidR="00DC2993">
        <w:t xml:space="preserve">simply deal with the matter in domestic law (by bringing their taxes up to the amount permitted by the treaty), rather than using treaty provisions to the same end. Australia finally realised this in relation to its treaty sourcing rule that effectively changed domestic law in 2019, see Satyam </w:t>
      </w:r>
      <w:r w:rsidR="00E46787">
        <w:t xml:space="preserve">Computer Services Ltd v Commissioner of Taxation (2018) 21(2) International Tax Law Reports 274, Income Tax Assessment Act 1997 </w:t>
      </w:r>
      <w:proofErr w:type="spellStart"/>
      <w:r w:rsidR="00E46787">
        <w:t>Div</w:t>
      </w:r>
      <w:proofErr w:type="spellEnd"/>
      <w:r w:rsidR="00E46787">
        <w:t xml:space="preserve"> 764</w:t>
      </w:r>
      <w:r w:rsidR="00DC2993">
        <w:t>.</w:t>
      </w:r>
    </w:p>
  </w:footnote>
  <w:footnote w:id="109">
    <w:p w14:paraId="2A36F4EC" w14:textId="4FA216E5" w:rsidR="00713AF8" w:rsidRDefault="00713AF8" w:rsidP="00713AF8">
      <w:pPr>
        <w:pStyle w:val="FootnoteText"/>
      </w:pPr>
      <w:r>
        <w:rPr>
          <w:rStyle w:val="FootnoteReference"/>
        </w:rPr>
        <w:footnoteRef/>
      </w:r>
      <w:r>
        <w:t xml:space="preserve"> This would be going back to the form of the original treaties. Art 1 of Prussia-Saxony (1869) said this</w:t>
      </w:r>
      <w:r w:rsidR="00CC2271">
        <w:t>:</w:t>
      </w:r>
      <w:r>
        <w:t xml:space="preserve"> Johann Hattingh, ‘On the origins of Model Tax Conventions: Nineteenth-Century German Tax Treaties and Laws Concerned with Double Tax’ in ed J </w:t>
      </w:r>
      <w:proofErr w:type="spellStart"/>
      <w:r>
        <w:t>Tiley</w:t>
      </w:r>
      <w:proofErr w:type="spellEnd"/>
      <w:r>
        <w:t xml:space="preserve">, </w:t>
      </w:r>
      <w:r w:rsidRPr="007F2CE6">
        <w:rPr>
          <w:i/>
          <w:iCs/>
        </w:rPr>
        <w:t>Studies in the History of Tax Law</w:t>
      </w:r>
      <w:r>
        <w:t xml:space="preserve"> vol 6, Oxford, Hart Publishing, 2013, 31, 39.</w:t>
      </w:r>
    </w:p>
  </w:footnote>
  <w:footnote w:id="110">
    <w:p w14:paraId="0CC8AAF8" w14:textId="5B5FEDB4" w:rsidR="00E20EEA" w:rsidRDefault="00E20EEA">
      <w:pPr>
        <w:pStyle w:val="FootnoteText"/>
      </w:pPr>
      <w:r>
        <w:rPr>
          <w:rStyle w:val="FootnoteReference"/>
        </w:rPr>
        <w:footnoteRef/>
      </w:r>
      <w:r>
        <w:t xml:space="preserve"> Rule (1) </w:t>
      </w:r>
      <w:r w:rsidR="004712AA">
        <w:t>in</w:t>
      </w:r>
      <w:r>
        <w:t xml:space="preserve"> </w:t>
      </w:r>
      <w:proofErr w:type="spellStart"/>
      <w:r>
        <w:t>WP15’s</w:t>
      </w:r>
      <w:proofErr w:type="spellEnd"/>
      <w:r>
        <w:t xml:space="preserve"> rejected draft of 1959</w:t>
      </w:r>
      <w:r w:rsidR="004712AA">
        <w:t>,</w:t>
      </w:r>
      <w:r w:rsidRPr="00E20EEA">
        <w:t xml:space="preserve"> </w:t>
      </w:r>
      <w:r>
        <w:t xml:space="preserve">see n </w:t>
      </w:r>
      <w:r>
        <w:fldChar w:fldCharType="begin"/>
      </w:r>
      <w:r>
        <w:instrText xml:space="preserve"> NOTEREF _Ref82006717 \h </w:instrText>
      </w:r>
      <w:r>
        <w:fldChar w:fldCharType="separate"/>
      </w:r>
      <w:r w:rsidR="001C0502">
        <w:t>55</w:t>
      </w:r>
      <w:r>
        <w:fldChar w:fldCharType="end"/>
      </w:r>
      <w:r>
        <w:t xml:space="preserve">; and Rule (2) in the first solution above, see </w:t>
      </w:r>
      <w:proofErr w:type="spellStart"/>
      <w:r>
        <w:t>n</w:t>
      </w:r>
      <w:proofErr w:type="spellEnd"/>
      <w:r>
        <w:t xml:space="preserve"> </w:t>
      </w:r>
      <w:r>
        <w:fldChar w:fldCharType="begin"/>
      </w:r>
      <w:r>
        <w:instrText xml:space="preserve"> NOTEREF _Ref82007323 \h </w:instrText>
      </w:r>
      <w:r>
        <w:fldChar w:fldCharType="separate"/>
      </w:r>
      <w:r w:rsidR="001C0502">
        <w:t>102</w:t>
      </w:r>
      <w:r>
        <w:fldChar w:fldCharType="end"/>
      </w:r>
      <w:r w:rsidR="00825025">
        <w:t xml:space="preserve">, although it can be traced earlier to </w:t>
      </w:r>
      <w:proofErr w:type="spellStart"/>
      <w:r w:rsidR="00825025">
        <w:t>WP2’s</w:t>
      </w:r>
      <w:proofErr w:type="spellEnd"/>
      <w:r w:rsidR="00825025">
        <w:t xml:space="preserve"> art III in </w:t>
      </w:r>
      <w:r w:rsidR="00825025" w:rsidRPr="00825025">
        <w:t>FC/</w:t>
      </w:r>
      <w:proofErr w:type="spellStart"/>
      <w:r w:rsidR="00825025" w:rsidRPr="00825025">
        <w:t>WP2</w:t>
      </w:r>
      <w:proofErr w:type="spellEnd"/>
      <w:r w:rsidR="00825025" w:rsidRPr="00825025">
        <w:t xml:space="preserve">(57)1 </w:t>
      </w:r>
      <w:r w:rsidR="00825025">
        <w:t>(</w:t>
      </w:r>
      <w:r w:rsidR="00825025" w:rsidRPr="00825025">
        <w:t>27 May 1957</w:t>
      </w:r>
      <w:r w:rsidR="00825025">
        <w:t>)</w:t>
      </w:r>
      <w:r w:rsidR="00421480">
        <w:t xml:space="preserve">, see text at n </w:t>
      </w:r>
      <w:r w:rsidR="00421480">
        <w:fldChar w:fldCharType="begin"/>
      </w:r>
      <w:r w:rsidR="00421480">
        <w:instrText xml:space="preserve"> NOTEREF _Ref97624936 \h </w:instrText>
      </w:r>
      <w:r w:rsidR="00421480">
        <w:fldChar w:fldCharType="separate"/>
      </w:r>
      <w:r w:rsidR="001C0502">
        <w:t>84</w:t>
      </w:r>
      <w:r w:rsidR="00421480">
        <w:fldChar w:fldCharType="end"/>
      </w:r>
      <w:r>
        <w:t xml:space="preserve">. </w:t>
      </w:r>
    </w:p>
  </w:footnote>
  <w:footnote w:id="111">
    <w:p w14:paraId="602E6C08" w14:textId="56C95A07" w:rsidR="006049F1" w:rsidRPr="00FB0043" w:rsidRDefault="006049F1" w:rsidP="00FB0043">
      <w:pPr>
        <w:pStyle w:val="FootnoteText"/>
        <w:rPr>
          <w:lang w:val="en-US"/>
        </w:rPr>
      </w:pPr>
      <w:r>
        <w:rPr>
          <w:rStyle w:val="FootnoteReference"/>
        </w:rPr>
        <w:footnoteRef/>
      </w:r>
      <w:r>
        <w:t xml:space="preserve"> Examples include </w:t>
      </w:r>
      <w:r w:rsidRPr="00FB0043">
        <w:rPr>
          <w:lang w:val="en-US"/>
        </w:rPr>
        <w:t xml:space="preserve">Czechoslovakia-Germany </w:t>
      </w:r>
      <w:r w:rsidR="00FB0043">
        <w:rPr>
          <w:lang w:val="en-US"/>
        </w:rPr>
        <w:t>(</w:t>
      </w:r>
      <w:r w:rsidRPr="00FB0043">
        <w:rPr>
          <w:lang w:val="en-US"/>
        </w:rPr>
        <w:t>1921</w:t>
      </w:r>
      <w:r w:rsidR="00FB0043">
        <w:rPr>
          <w:lang w:val="en-US"/>
        </w:rPr>
        <w:t>)</w:t>
      </w:r>
      <w:r w:rsidRPr="00FB0043">
        <w:rPr>
          <w:lang w:val="en-US"/>
        </w:rPr>
        <w:t xml:space="preserve">, Austria-Czechoslovakia </w:t>
      </w:r>
      <w:r w:rsidR="00FB0043">
        <w:rPr>
          <w:lang w:val="en-US"/>
        </w:rPr>
        <w:t>(</w:t>
      </w:r>
      <w:r w:rsidRPr="00FB0043">
        <w:rPr>
          <w:lang w:val="en-US"/>
        </w:rPr>
        <w:t>1922</w:t>
      </w:r>
      <w:r w:rsidR="00FB0043">
        <w:rPr>
          <w:lang w:val="en-US"/>
        </w:rPr>
        <w:t>)</w:t>
      </w:r>
      <w:r w:rsidRPr="00FB0043">
        <w:rPr>
          <w:lang w:val="en-US"/>
        </w:rPr>
        <w:t xml:space="preserve">, Austria-Germany </w:t>
      </w:r>
      <w:r w:rsidR="00FB0043">
        <w:rPr>
          <w:lang w:val="en-US"/>
        </w:rPr>
        <w:t>(</w:t>
      </w:r>
      <w:r w:rsidRPr="00FB0043">
        <w:rPr>
          <w:lang w:val="en-US"/>
        </w:rPr>
        <w:t>1922</w:t>
      </w:r>
      <w:r w:rsidR="00FB0043">
        <w:rPr>
          <w:lang w:val="en-US"/>
        </w:rPr>
        <w:t>)</w:t>
      </w:r>
      <w:r w:rsidRPr="00FB0043">
        <w:rPr>
          <w:lang w:val="en-US"/>
        </w:rPr>
        <w:t xml:space="preserve">, France-Saar </w:t>
      </w:r>
      <w:r w:rsidR="00FB0043">
        <w:rPr>
          <w:lang w:val="en-US"/>
        </w:rPr>
        <w:t>(</w:t>
      </w:r>
      <w:r w:rsidRPr="00FB0043">
        <w:rPr>
          <w:lang w:val="en-US"/>
        </w:rPr>
        <w:t>1922</w:t>
      </w:r>
      <w:r w:rsidR="00FB0043">
        <w:rPr>
          <w:lang w:val="en-US"/>
        </w:rPr>
        <w:t>)</w:t>
      </w:r>
      <w:r w:rsidRPr="00FB0043">
        <w:rPr>
          <w:lang w:val="en-US"/>
        </w:rPr>
        <w:t xml:space="preserve">, Austria-Hungary </w:t>
      </w:r>
      <w:r w:rsidR="00FB0043">
        <w:rPr>
          <w:lang w:val="en-US"/>
        </w:rPr>
        <w:t>(</w:t>
      </w:r>
      <w:r w:rsidRPr="00FB0043">
        <w:rPr>
          <w:lang w:val="en-US"/>
        </w:rPr>
        <w:t>1924</w:t>
      </w:r>
      <w:r w:rsidR="00FB0043">
        <w:rPr>
          <w:lang w:val="en-US"/>
        </w:rPr>
        <w:t>)</w:t>
      </w:r>
      <w:r w:rsidRPr="00FB0043">
        <w:rPr>
          <w:lang w:val="en-US"/>
        </w:rPr>
        <w:t xml:space="preserve">, Danzig-Poland </w:t>
      </w:r>
      <w:r w:rsidR="00FB0043">
        <w:rPr>
          <w:lang w:val="en-US"/>
        </w:rPr>
        <w:t>(</w:t>
      </w:r>
      <w:r w:rsidRPr="00FB0043">
        <w:rPr>
          <w:lang w:val="en-US"/>
        </w:rPr>
        <w:t>1924</w:t>
      </w:r>
      <w:r w:rsidR="00FB0043">
        <w:rPr>
          <w:lang w:val="en-US"/>
        </w:rPr>
        <w:t>)</w:t>
      </w:r>
      <w:r w:rsidRPr="00FB0043">
        <w:rPr>
          <w:lang w:val="en-US"/>
        </w:rPr>
        <w:t xml:space="preserve">, Austria-Switzerland </w:t>
      </w:r>
      <w:r w:rsidR="00FB0043">
        <w:rPr>
          <w:lang w:val="en-US"/>
        </w:rPr>
        <w:t>(</w:t>
      </w:r>
      <w:r w:rsidRPr="00FB0043">
        <w:rPr>
          <w:lang w:val="en-US"/>
        </w:rPr>
        <w:t>1927</w:t>
      </w:r>
      <w:r w:rsidR="00FB0043">
        <w:rPr>
          <w:lang w:val="en-US"/>
        </w:rPr>
        <w:t>)</w:t>
      </w:r>
      <w:r w:rsidRPr="00FB0043">
        <w:rPr>
          <w:lang w:val="en-US"/>
        </w:rPr>
        <w:t xml:space="preserve">, France-Italy </w:t>
      </w:r>
      <w:r w:rsidR="00FB0043">
        <w:rPr>
          <w:lang w:val="en-US"/>
        </w:rPr>
        <w:t>(</w:t>
      </w:r>
      <w:r w:rsidRPr="00FB0043">
        <w:rPr>
          <w:lang w:val="en-US"/>
        </w:rPr>
        <w:t>1930</w:t>
      </w:r>
      <w:r w:rsidR="00FB0043">
        <w:rPr>
          <w:lang w:val="en-US"/>
        </w:rPr>
        <w:t>)</w:t>
      </w:r>
      <w:r w:rsidRPr="00FB0043">
        <w:rPr>
          <w:lang w:val="en-US"/>
        </w:rPr>
        <w:t xml:space="preserve">, Finland-Sweden </w:t>
      </w:r>
      <w:r w:rsidR="00FB0043">
        <w:rPr>
          <w:lang w:val="en-US"/>
        </w:rPr>
        <w:t>(</w:t>
      </w:r>
      <w:r w:rsidRPr="00FB0043">
        <w:rPr>
          <w:lang w:val="en-US"/>
        </w:rPr>
        <w:t>1931</w:t>
      </w:r>
      <w:r w:rsidR="00FB0043">
        <w:rPr>
          <w:lang w:val="en-US"/>
        </w:rPr>
        <w:t>)</w:t>
      </w:r>
      <w:r w:rsidRPr="00FB0043">
        <w:rPr>
          <w:lang w:val="en-US"/>
        </w:rPr>
        <w:t xml:space="preserve">, Denmark-Sweden </w:t>
      </w:r>
      <w:r w:rsidR="00FB0043">
        <w:rPr>
          <w:lang w:val="en-US"/>
        </w:rPr>
        <w:t>(</w:t>
      </w:r>
      <w:r w:rsidRPr="00FB0043">
        <w:rPr>
          <w:lang w:val="en-US"/>
        </w:rPr>
        <w:t>1932</w:t>
      </w:r>
      <w:r w:rsidR="00FB0043">
        <w:rPr>
          <w:lang w:val="en-US"/>
        </w:rPr>
        <w:t>)</w:t>
      </w:r>
      <w:r w:rsidRPr="00FB0043">
        <w:rPr>
          <w:lang w:val="en-US"/>
        </w:rPr>
        <w:t xml:space="preserve">, </w:t>
      </w:r>
      <w:r w:rsidR="00FB0043" w:rsidRPr="00FB0043">
        <w:rPr>
          <w:lang w:val="en-US"/>
        </w:rPr>
        <w:t xml:space="preserve">Netherlands-Sweden </w:t>
      </w:r>
      <w:r w:rsidR="00FB0043">
        <w:rPr>
          <w:lang w:val="en-US"/>
        </w:rPr>
        <w:t>(</w:t>
      </w:r>
      <w:r w:rsidR="00FB0043" w:rsidRPr="00FB0043">
        <w:rPr>
          <w:lang w:val="en-US"/>
        </w:rPr>
        <w:t>1935</w:t>
      </w:r>
      <w:r w:rsidR="00FB0043">
        <w:rPr>
          <w:lang w:val="en-US"/>
        </w:rPr>
        <w:t>)</w:t>
      </w:r>
      <w:r w:rsidR="00FB0043" w:rsidRPr="00FB0043">
        <w:rPr>
          <w:lang w:val="en-US"/>
        </w:rPr>
        <w:t xml:space="preserve">, </w:t>
      </w:r>
      <w:r w:rsidR="0035452D" w:rsidRPr="00FB0043">
        <w:rPr>
          <w:lang w:val="en-US"/>
        </w:rPr>
        <w:t xml:space="preserve">Hungary-Sweden </w:t>
      </w:r>
      <w:r w:rsidR="00FB0043">
        <w:rPr>
          <w:lang w:val="en-US"/>
        </w:rPr>
        <w:t>(</w:t>
      </w:r>
      <w:r w:rsidR="0035452D" w:rsidRPr="00FB0043">
        <w:rPr>
          <w:lang w:val="en-US"/>
        </w:rPr>
        <w:t>1936</w:t>
      </w:r>
      <w:r w:rsidR="00FB0043">
        <w:rPr>
          <w:lang w:val="en-US"/>
        </w:rPr>
        <w:t>)</w:t>
      </w:r>
      <w:r w:rsidR="0035452D" w:rsidRPr="00FB0043">
        <w:rPr>
          <w:lang w:val="en-US"/>
        </w:rPr>
        <w:t xml:space="preserve">, Hungary-Netherlands </w:t>
      </w:r>
      <w:r w:rsidR="00FB0043">
        <w:rPr>
          <w:lang w:val="en-US"/>
        </w:rPr>
        <w:t>(</w:t>
      </w:r>
      <w:r w:rsidR="0035452D" w:rsidRPr="00FB0043">
        <w:rPr>
          <w:lang w:val="en-US"/>
        </w:rPr>
        <w:t>1938</w:t>
      </w:r>
      <w:r w:rsidR="00FB0043">
        <w:rPr>
          <w:lang w:val="en-US"/>
        </w:rPr>
        <w:t>)</w:t>
      </w:r>
      <w:r w:rsidR="0035452D" w:rsidRPr="00FB0043">
        <w:rPr>
          <w:lang w:val="en-US"/>
        </w:rPr>
        <w:t>.</w:t>
      </w:r>
    </w:p>
  </w:footnote>
  <w:footnote w:id="112">
    <w:p w14:paraId="7FA3DEB0" w14:textId="5271BBB2" w:rsidR="00C4117E" w:rsidRPr="00EC0190" w:rsidRDefault="00C4117E">
      <w:pPr>
        <w:pStyle w:val="FootnoteText"/>
        <w:rPr>
          <w:lang w:val="en-AU"/>
        </w:rPr>
      </w:pPr>
      <w:r>
        <w:rPr>
          <w:rStyle w:val="FootnoteReference"/>
        </w:rPr>
        <w:footnoteRef/>
      </w:r>
      <w:r>
        <w:t xml:space="preserve"> </w:t>
      </w:r>
      <w:r>
        <w:rPr>
          <w:lang w:val="en-AU"/>
        </w:rPr>
        <w:t>Notably it was only in 2017 that the inland waterways provisions were eliminated</w:t>
      </w:r>
      <w:r w:rsidR="00DC2993">
        <w:rPr>
          <w:lang w:val="en-AU"/>
        </w:rPr>
        <w:t xml:space="preserve"> from art 8 of the OECD Model</w:t>
      </w:r>
      <w:r>
        <w:rPr>
          <w:lang w:val="en-AU"/>
        </w:rPr>
        <w:t>, despite their relevance being almost exclusively European.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4F"/>
    <w:multiLevelType w:val="hybridMultilevel"/>
    <w:tmpl w:val="E0CC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E23F4"/>
    <w:multiLevelType w:val="hybridMultilevel"/>
    <w:tmpl w:val="DB6C6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9689F"/>
    <w:multiLevelType w:val="multilevel"/>
    <w:tmpl w:val="6494D632"/>
    <w:lvl w:ilvl="0">
      <w:start w:val="1"/>
      <w:numFmt w:val="upperRoman"/>
      <w:lvlText w:val="%1."/>
      <w:lvlJc w:val="left"/>
      <w:pPr>
        <w:tabs>
          <w:tab w:val="num" w:pos="1080"/>
        </w:tabs>
        <w:ind w:left="1080" w:hanging="1008"/>
      </w:pPr>
      <w:rPr>
        <w:rFonts w:ascii="Times New Roman Bold" w:hAnsi="Times New Roman Bold" w:hint="default"/>
        <w:b/>
        <w:i w:val="0"/>
        <w:sz w:val="26"/>
      </w:rPr>
    </w:lvl>
    <w:lvl w:ilvl="1">
      <w:start w:val="1"/>
      <w:numFmt w:val="upperLetter"/>
      <w:lvlText w:val="%2."/>
      <w:lvlJc w:val="left"/>
      <w:pPr>
        <w:tabs>
          <w:tab w:val="num" w:pos="2160"/>
        </w:tabs>
        <w:ind w:left="2160" w:hanging="720"/>
      </w:pPr>
      <w:rPr>
        <w:rFonts w:ascii="Times New Roman Bold" w:hAnsi="Times New Roman Bold" w:hint="default"/>
        <w:b/>
        <w:i w:val="0"/>
        <w:sz w:val="24"/>
      </w:rPr>
    </w:lvl>
    <w:lvl w:ilvl="2">
      <w:start w:val="1"/>
      <w:numFmt w:val="decimal"/>
      <w:pStyle w:val="Outlineheading1"/>
      <w:lvlText w:val="%3."/>
      <w:lvlJc w:val="left"/>
      <w:pPr>
        <w:tabs>
          <w:tab w:val="num" w:pos="2880"/>
        </w:tabs>
        <w:ind w:left="2880" w:hanging="720"/>
      </w:pPr>
      <w:rPr>
        <w:rFonts w:ascii="Times New Roman Bold" w:hAnsi="Times New Roman Bold" w:hint="default"/>
        <w:b/>
        <w:i w:val="0"/>
        <w:sz w:val="24"/>
      </w:rPr>
    </w:lvl>
    <w:lvl w:ilvl="3">
      <w:start w:val="1"/>
      <w:numFmt w:val="lowerLetter"/>
      <w:lvlText w:val="(%4)"/>
      <w:lvlJc w:val="left"/>
      <w:pPr>
        <w:tabs>
          <w:tab w:val="num" w:pos="2880"/>
        </w:tabs>
        <w:ind w:left="2880" w:hanging="720"/>
      </w:pPr>
    </w:lvl>
    <w:lvl w:ilvl="4">
      <w:start w:val="1"/>
      <w:numFmt w:val="none"/>
      <w:lvlText w:val="(i)"/>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9EE27CD"/>
    <w:multiLevelType w:val="hybridMultilevel"/>
    <w:tmpl w:val="359E50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1A1D8D"/>
    <w:multiLevelType w:val="multilevel"/>
    <w:tmpl w:val="5EAA065C"/>
    <w:lvl w:ilvl="0">
      <w:start w:val="1"/>
      <w:numFmt w:val="upperRoman"/>
      <w:pStyle w:val="OutlineheadingI"/>
      <w:lvlText w:val="%1."/>
      <w:lvlJc w:val="left"/>
      <w:pPr>
        <w:tabs>
          <w:tab w:val="num" w:pos="1440"/>
        </w:tabs>
        <w:ind w:left="1440" w:hanging="720"/>
      </w:pPr>
      <w:rPr>
        <w:rFonts w:ascii="Times New Roman Bold" w:hAnsi="Times New Roman Bold" w:hint="default"/>
        <w:b/>
        <w:i w:val="0"/>
        <w:sz w:val="26"/>
      </w:rPr>
    </w:lvl>
    <w:lvl w:ilvl="1">
      <w:start w:val="1"/>
      <w:numFmt w:val="upperLetter"/>
      <w:lvlText w:val="%2."/>
      <w:lvlJc w:val="left"/>
      <w:pPr>
        <w:tabs>
          <w:tab w:val="num" w:pos="2160"/>
        </w:tabs>
        <w:ind w:left="2160" w:hanging="720"/>
      </w:pPr>
      <w:rPr>
        <w:rFonts w:ascii="Times New Roman Bold" w:hAnsi="Times New Roman Bold" w:hint="default"/>
        <w:b/>
        <w:i w:val="0"/>
        <w:sz w:val="24"/>
      </w:rPr>
    </w:lvl>
    <w:lvl w:ilvl="2">
      <w:start w:val="1"/>
      <w:numFmt w:val="decimal"/>
      <w:lvlText w:val="%3."/>
      <w:lvlJc w:val="left"/>
      <w:pPr>
        <w:tabs>
          <w:tab w:val="num" w:pos="2880"/>
        </w:tabs>
        <w:ind w:left="2880" w:hanging="720"/>
      </w:pPr>
      <w:rPr>
        <w:rFonts w:ascii="Times New Roman Bold" w:hAnsi="Times New Roman Bold" w:hint="default"/>
        <w:b/>
        <w:i w:val="0"/>
        <w:sz w:val="24"/>
      </w:rPr>
    </w:lvl>
    <w:lvl w:ilvl="3">
      <w:start w:val="1"/>
      <w:numFmt w:val="lowerLetter"/>
      <w:lvlText w:val="(%4)"/>
      <w:lvlJc w:val="left"/>
      <w:pPr>
        <w:tabs>
          <w:tab w:val="num" w:pos="2880"/>
        </w:tabs>
        <w:ind w:left="2880" w:hanging="720"/>
      </w:pPr>
    </w:lvl>
    <w:lvl w:ilvl="4">
      <w:start w:val="1"/>
      <w:numFmt w:val="none"/>
      <w:lvlText w:val="(i)"/>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D321BCD"/>
    <w:multiLevelType w:val="hybridMultilevel"/>
    <w:tmpl w:val="8FAC3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725EC"/>
    <w:multiLevelType w:val="multilevel"/>
    <w:tmpl w:val="8AA68E72"/>
    <w:styleLink w:val="Numbeedlist"/>
    <w:lvl w:ilvl="0">
      <w:start w:val="1"/>
      <w:numFmt w:val="upperRoman"/>
      <w:lvlText w:val="%1."/>
      <w:lvlJc w:val="left"/>
      <w:pPr>
        <w:ind w:left="1417" w:hanging="567"/>
      </w:pPr>
      <w:rPr>
        <w:rFonts w:hint="default"/>
      </w:rPr>
    </w:lvl>
    <w:lvl w:ilvl="1">
      <w:start w:val="1"/>
      <w:numFmt w:val="upperLetter"/>
      <w:lvlText w:val="%2."/>
      <w:lvlJc w:val="left"/>
      <w:pPr>
        <w:ind w:left="1985" w:hanging="567"/>
      </w:pPr>
      <w:rPr>
        <w:rFonts w:hint="default"/>
      </w:rPr>
    </w:lvl>
    <w:lvl w:ilvl="2">
      <w:start w:val="1"/>
      <w:numFmt w:val="decimal"/>
      <w:lvlText w:val="(%3)"/>
      <w:lvlJc w:val="left"/>
      <w:pPr>
        <w:ind w:left="2552" w:hanging="567"/>
      </w:pPr>
      <w:rPr>
        <w:rFonts w:hint="default"/>
      </w:rPr>
    </w:lvl>
    <w:lvl w:ilvl="3">
      <w:start w:val="1"/>
      <w:numFmt w:val="lowerLetter"/>
      <w:lvlText w:val="(%4)"/>
      <w:lvlJc w:val="left"/>
      <w:pPr>
        <w:ind w:left="3119" w:hanging="567"/>
      </w:pPr>
      <w:rPr>
        <w:rFonts w:hint="default"/>
      </w:rPr>
    </w:lvl>
    <w:lvl w:ilvl="4">
      <w:start w:val="1"/>
      <w:numFmt w:val="lowerRoman"/>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697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left"/>
      <w:pPr>
        <w:ind w:left="7690" w:hanging="360"/>
      </w:pPr>
      <w:rPr>
        <w:rFonts w:hint="default"/>
      </w:rPr>
    </w:lvl>
  </w:abstractNum>
  <w:abstractNum w:abstractNumId="7" w15:restartNumberingAfterBreak="0">
    <w:nsid w:val="2DFD0319"/>
    <w:multiLevelType w:val="multilevel"/>
    <w:tmpl w:val="8AA68E72"/>
    <w:numStyleLink w:val="Numbeedlist"/>
  </w:abstractNum>
  <w:abstractNum w:abstractNumId="8" w15:restartNumberingAfterBreak="0">
    <w:nsid w:val="2EC1564B"/>
    <w:multiLevelType w:val="multilevel"/>
    <w:tmpl w:val="117651BC"/>
    <w:lvl w:ilvl="0">
      <w:start w:val="1"/>
      <w:numFmt w:val="upperRoman"/>
      <w:pStyle w:val="OutlineheadingA"/>
      <w:lvlText w:val="%1."/>
      <w:lvlJc w:val="left"/>
      <w:pPr>
        <w:tabs>
          <w:tab w:val="num" w:pos="1080"/>
        </w:tabs>
        <w:ind w:left="1080" w:hanging="1008"/>
      </w:pPr>
      <w:rPr>
        <w:rFonts w:ascii="Times New Roman Bold" w:hAnsi="Times New Roman Bold" w:hint="default"/>
        <w:b/>
        <w:i w:val="0"/>
        <w:sz w:val="26"/>
      </w:rPr>
    </w:lvl>
    <w:lvl w:ilvl="1">
      <w:start w:val="1"/>
      <w:numFmt w:val="upperLetter"/>
      <w:lvlText w:val="%2."/>
      <w:lvlJc w:val="left"/>
      <w:pPr>
        <w:tabs>
          <w:tab w:val="num" w:pos="2160"/>
        </w:tabs>
        <w:ind w:left="2160" w:hanging="720"/>
      </w:pPr>
      <w:rPr>
        <w:rFonts w:ascii="Times New Roman Bold" w:hAnsi="Times New Roman Bold" w:hint="default"/>
        <w:b/>
        <w:i w:val="0"/>
        <w:sz w:val="24"/>
      </w:rPr>
    </w:lvl>
    <w:lvl w:ilvl="2">
      <w:start w:val="1"/>
      <w:numFmt w:val="decimal"/>
      <w:lvlText w:val="%3."/>
      <w:lvlJc w:val="left"/>
      <w:pPr>
        <w:tabs>
          <w:tab w:val="num" w:pos="2880"/>
        </w:tabs>
        <w:ind w:left="2880" w:hanging="720"/>
      </w:pPr>
      <w:rPr>
        <w:rFonts w:ascii="Times New Roman Bold" w:hAnsi="Times New Roman Bold" w:hint="default"/>
        <w:b/>
        <w:i w:val="0"/>
        <w:sz w:val="24"/>
      </w:rPr>
    </w:lvl>
    <w:lvl w:ilvl="3">
      <w:start w:val="1"/>
      <w:numFmt w:val="lowerLetter"/>
      <w:lvlText w:val="(%4)"/>
      <w:lvlJc w:val="left"/>
      <w:pPr>
        <w:tabs>
          <w:tab w:val="num" w:pos="2880"/>
        </w:tabs>
        <w:ind w:left="2880" w:hanging="720"/>
      </w:pPr>
      <w:rPr>
        <w:rFonts w:hint="default"/>
      </w:rPr>
    </w:lvl>
    <w:lvl w:ilvl="4">
      <w:start w:val="1"/>
      <w:numFmt w:val="none"/>
      <w:lvlText w:val="(i)"/>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5BE3015"/>
    <w:multiLevelType w:val="multilevel"/>
    <w:tmpl w:val="8AA68E72"/>
    <w:numStyleLink w:val="Numbeedlist"/>
  </w:abstractNum>
  <w:abstractNum w:abstractNumId="10" w15:restartNumberingAfterBreak="0">
    <w:nsid w:val="5ACF0986"/>
    <w:multiLevelType w:val="hybridMultilevel"/>
    <w:tmpl w:val="1A8A9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A0CD7"/>
    <w:multiLevelType w:val="multilevel"/>
    <w:tmpl w:val="8AA68E72"/>
    <w:numStyleLink w:val="Numbeedlist"/>
  </w:abstractNum>
  <w:abstractNum w:abstractNumId="12" w15:restartNumberingAfterBreak="0">
    <w:nsid w:val="68320BE8"/>
    <w:multiLevelType w:val="multilevel"/>
    <w:tmpl w:val="11D69C4C"/>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pStyle w:val="A"/>
      <w:lvlText w:val="%2."/>
      <w:lvlJc w:val="left"/>
      <w:pPr>
        <w:tabs>
          <w:tab w:val="num" w:pos="1440"/>
        </w:tabs>
        <w:ind w:left="1440" w:hanging="720"/>
      </w:pPr>
    </w:lvl>
    <w:lvl w:ilvl="2">
      <w:start w:val="1"/>
      <w:numFmt w:val="decimal"/>
      <w:pStyle w:val="1"/>
      <w:lvlText w:val="%3."/>
      <w:lvlJc w:val="left"/>
      <w:pPr>
        <w:tabs>
          <w:tab w:val="num" w:pos="2160"/>
        </w:tabs>
        <w:ind w:left="2160" w:hanging="720"/>
      </w:pPr>
    </w:lvl>
    <w:lvl w:ilvl="3">
      <w:start w:val="1"/>
      <w:numFmt w:val="lowerLetter"/>
      <w:pStyle w:val="a0"/>
      <w:lvlText w:val="(%4)"/>
      <w:lvlJc w:val="left"/>
      <w:pPr>
        <w:tabs>
          <w:tab w:val="num" w:pos="2880"/>
        </w:tabs>
        <w:ind w:left="2880" w:hanging="720"/>
      </w:pPr>
    </w:lvl>
    <w:lvl w:ilvl="4">
      <w:start w:val="1"/>
      <w:numFmt w:val="none"/>
      <w:lvlText w:val="(i)"/>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7553334F"/>
    <w:multiLevelType w:val="hybridMultilevel"/>
    <w:tmpl w:val="47DA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770E8"/>
    <w:multiLevelType w:val="multilevel"/>
    <w:tmpl w:val="AAB0A454"/>
    <w:styleLink w:val="Outline"/>
    <w:lvl w:ilvl="0">
      <w:start w:val="1"/>
      <w:numFmt w:val="upperRoman"/>
      <w:pStyle w:val="List"/>
      <w:lvlText w:val="%1."/>
      <w:lvlJc w:val="left"/>
      <w:pPr>
        <w:ind w:left="360" w:hanging="360"/>
      </w:pPr>
      <w:rPr>
        <w:rFonts w:hint="default"/>
      </w:rPr>
    </w:lvl>
    <w:lvl w:ilvl="1">
      <w:start w:val="1"/>
      <w:numFmt w:val="upperLetter"/>
      <w:pStyle w:val="List2"/>
      <w:lvlText w:val="%2."/>
      <w:lvlJc w:val="left"/>
      <w:pPr>
        <w:ind w:left="720" w:hanging="360"/>
      </w:pPr>
      <w:rPr>
        <w:rFonts w:hint="default"/>
      </w:rPr>
    </w:lvl>
    <w:lvl w:ilvl="2">
      <w:start w:val="1"/>
      <w:numFmt w:val="decimal"/>
      <w:pStyle w:val="List3"/>
      <w:lvlText w:val="%3."/>
      <w:lvlJc w:val="left"/>
      <w:pPr>
        <w:ind w:left="1080" w:hanging="360"/>
      </w:pPr>
      <w:rPr>
        <w:rFonts w:hint="default"/>
      </w:rPr>
    </w:lvl>
    <w:lvl w:ilvl="3">
      <w:start w:val="1"/>
      <w:numFmt w:val="lowerLetter"/>
      <w:pStyle w:val="List4"/>
      <w:lvlText w:val="(%4)"/>
      <w:lvlJc w:val="left"/>
      <w:pPr>
        <w:ind w:left="1440" w:hanging="360"/>
      </w:pPr>
      <w:rPr>
        <w:rFonts w:hint="default"/>
      </w:rPr>
    </w:lvl>
    <w:lvl w:ilvl="4">
      <w:start w:val="1"/>
      <w:numFmt w:val="lowerRoman"/>
      <w:pStyle w:val="List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AE6CD8"/>
    <w:multiLevelType w:val="multilevel"/>
    <w:tmpl w:val="1898F00E"/>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pStyle w:val="BodyText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pStyle w:val="Johna"/>
      <w:lvlText w:val="(%4)"/>
      <w:lvlJc w:val="left"/>
      <w:pPr>
        <w:tabs>
          <w:tab w:val="num" w:pos="2880"/>
        </w:tabs>
        <w:ind w:left="2880" w:hanging="720"/>
      </w:pPr>
      <w:rPr>
        <w:rFonts w:hint="default"/>
      </w:rPr>
    </w:lvl>
    <w:lvl w:ilvl="4">
      <w:start w:val="1"/>
      <w:numFmt w:val="none"/>
      <w:lvlText w:val="(i)"/>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268708709">
    <w:abstractNumId w:val="4"/>
  </w:num>
  <w:num w:numId="2" w16cid:durableId="356275617">
    <w:abstractNumId w:val="8"/>
  </w:num>
  <w:num w:numId="3" w16cid:durableId="1541168533">
    <w:abstractNumId w:val="2"/>
  </w:num>
  <w:num w:numId="4" w16cid:durableId="1829977677">
    <w:abstractNumId w:val="12"/>
  </w:num>
  <w:num w:numId="5" w16cid:durableId="1291126608">
    <w:abstractNumId w:val="12"/>
  </w:num>
  <w:num w:numId="6" w16cid:durableId="1538856321">
    <w:abstractNumId w:val="12"/>
  </w:num>
  <w:num w:numId="7" w16cid:durableId="937447699">
    <w:abstractNumId w:val="15"/>
  </w:num>
  <w:num w:numId="8" w16cid:durableId="290012722">
    <w:abstractNumId w:val="15"/>
  </w:num>
  <w:num w:numId="9" w16cid:durableId="1174690726">
    <w:abstractNumId w:val="15"/>
  </w:num>
  <w:num w:numId="10" w16cid:durableId="1566720154">
    <w:abstractNumId w:val="15"/>
  </w:num>
  <w:num w:numId="11" w16cid:durableId="426196817">
    <w:abstractNumId w:val="14"/>
  </w:num>
  <w:num w:numId="12" w16cid:durableId="1419131098">
    <w:abstractNumId w:val="14"/>
  </w:num>
  <w:num w:numId="13" w16cid:durableId="546262399">
    <w:abstractNumId w:val="14"/>
  </w:num>
  <w:num w:numId="14" w16cid:durableId="1706633280">
    <w:abstractNumId w:val="14"/>
  </w:num>
  <w:num w:numId="15" w16cid:durableId="181013375">
    <w:abstractNumId w:val="14"/>
  </w:num>
  <w:num w:numId="16" w16cid:durableId="865871719">
    <w:abstractNumId w:val="14"/>
  </w:num>
  <w:num w:numId="17" w16cid:durableId="292372101">
    <w:abstractNumId w:val="14"/>
  </w:num>
  <w:num w:numId="18" w16cid:durableId="723866431">
    <w:abstractNumId w:val="14"/>
  </w:num>
  <w:num w:numId="19" w16cid:durableId="319432957">
    <w:abstractNumId w:val="14"/>
  </w:num>
  <w:num w:numId="20" w16cid:durableId="1338994141">
    <w:abstractNumId w:val="14"/>
  </w:num>
  <w:num w:numId="21" w16cid:durableId="1904632485">
    <w:abstractNumId w:val="6"/>
  </w:num>
  <w:num w:numId="22" w16cid:durableId="2125154702">
    <w:abstractNumId w:val="7"/>
  </w:num>
  <w:num w:numId="23" w16cid:durableId="1666519241">
    <w:abstractNumId w:val="9"/>
  </w:num>
  <w:num w:numId="24" w16cid:durableId="970669587">
    <w:abstractNumId w:val="6"/>
  </w:num>
  <w:num w:numId="25" w16cid:durableId="1703821552">
    <w:abstractNumId w:val="6"/>
  </w:num>
  <w:num w:numId="26" w16cid:durableId="460417075">
    <w:abstractNumId w:val="6"/>
  </w:num>
  <w:num w:numId="27" w16cid:durableId="1736119272">
    <w:abstractNumId w:val="11"/>
  </w:num>
  <w:num w:numId="28" w16cid:durableId="967510317">
    <w:abstractNumId w:val="5"/>
  </w:num>
  <w:num w:numId="29" w16cid:durableId="116879747">
    <w:abstractNumId w:val="1"/>
  </w:num>
  <w:num w:numId="30" w16cid:durableId="1991984661">
    <w:abstractNumId w:val="13"/>
  </w:num>
  <w:num w:numId="31" w16cid:durableId="548804783">
    <w:abstractNumId w:val="0"/>
  </w:num>
  <w:num w:numId="32" w16cid:durableId="1721706160">
    <w:abstractNumId w:val="3"/>
  </w:num>
  <w:num w:numId="33" w16cid:durableId="6016439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02"/>
    <w:rsid w:val="0000221F"/>
    <w:rsid w:val="000022DE"/>
    <w:rsid w:val="00010B82"/>
    <w:rsid w:val="00011FB7"/>
    <w:rsid w:val="0001341A"/>
    <w:rsid w:val="00020299"/>
    <w:rsid w:val="00020B1D"/>
    <w:rsid w:val="00022988"/>
    <w:rsid w:val="00032E0E"/>
    <w:rsid w:val="000336C3"/>
    <w:rsid w:val="000337E2"/>
    <w:rsid w:val="0003542B"/>
    <w:rsid w:val="00042003"/>
    <w:rsid w:val="000431C5"/>
    <w:rsid w:val="00047878"/>
    <w:rsid w:val="00051EE1"/>
    <w:rsid w:val="0005223F"/>
    <w:rsid w:val="00054BE9"/>
    <w:rsid w:val="00054E24"/>
    <w:rsid w:val="0005601A"/>
    <w:rsid w:val="00061562"/>
    <w:rsid w:val="00063000"/>
    <w:rsid w:val="00074C3E"/>
    <w:rsid w:val="00081DB9"/>
    <w:rsid w:val="0008237E"/>
    <w:rsid w:val="000829D1"/>
    <w:rsid w:val="00083802"/>
    <w:rsid w:val="0008447E"/>
    <w:rsid w:val="0008528E"/>
    <w:rsid w:val="000A5F96"/>
    <w:rsid w:val="000B3520"/>
    <w:rsid w:val="000B4A39"/>
    <w:rsid w:val="000B5BDE"/>
    <w:rsid w:val="000C1296"/>
    <w:rsid w:val="000C2F63"/>
    <w:rsid w:val="000C6F42"/>
    <w:rsid w:val="000D1044"/>
    <w:rsid w:val="000D2550"/>
    <w:rsid w:val="000D3CE2"/>
    <w:rsid w:val="000D5308"/>
    <w:rsid w:val="000E1E76"/>
    <w:rsid w:val="000E5A99"/>
    <w:rsid w:val="000F03DE"/>
    <w:rsid w:val="000F6230"/>
    <w:rsid w:val="000F7714"/>
    <w:rsid w:val="000F7791"/>
    <w:rsid w:val="00110296"/>
    <w:rsid w:val="00116C94"/>
    <w:rsid w:val="00122CD0"/>
    <w:rsid w:val="00125F52"/>
    <w:rsid w:val="00137320"/>
    <w:rsid w:val="001462EB"/>
    <w:rsid w:val="00164280"/>
    <w:rsid w:val="001665EE"/>
    <w:rsid w:val="00172C1A"/>
    <w:rsid w:val="00173A7A"/>
    <w:rsid w:val="0017627C"/>
    <w:rsid w:val="00181DFA"/>
    <w:rsid w:val="001831AC"/>
    <w:rsid w:val="00184A5B"/>
    <w:rsid w:val="00185746"/>
    <w:rsid w:val="001A0892"/>
    <w:rsid w:val="001A2893"/>
    <w:rsid w:val="001A66A3"/>
    <w:rsid w:val="001B0FAE"/>
    <w:rsid w:val="001B1763"/>
    <w:rsid w:val="001B5F72"/>
    <w:rsid w:val="001B6023"/>
    <w:rsid w:val="001B66AD"/>
    <w:rsid w:val="001C0502"/>
    <w:rsid w:val="001C5A2A"/>
    <w:rsid w:val="001D0808"/>
    <w:rsid w:val="001D1666"/>
    <w:rsid w:val="001D363B"/>
    <w:rsid w:val="001D55EA"/>
    <w:rsid w:val="001D60DB"/>
    <w:rsid w:val="001F0BE8"/>
    <w:rsid w:val="001F1310"/>
    <w:rsid w:val="001F3BD2"/>
    <w:rsid w:val="001F55EA"/>
    <w:rsid w:val="001F59D6"/>
    <w:rsid w:val="002002F1"/>
    <w:rsid w:val="00201362"/>
    <w:rsid w:val="002047C4"/>
    <w:rsid w:val="002106DA"/>
    <w:rsid w:val="002119BD"/>
    <w:rsid w:val="00216AA8"/>
    <w:rsid w:val="00220929"/>
    <w:rsid w:val="00226637"/>
    <w:rsid w:val="002278FC"/>
    <w:rsid w:val="00241EBA"/>
    <w:rsid w:val="00243BBD"/>
    <w:rsid w:val="0024630A"/>
    <w:rsid w:val="00247FFE"/>
    <w:rsid w:val="002626CF"/>
    <w:rsid w:val="0026431A"/>
    <w:rsid w:val="0027062B"/>
    <w:rsid w:val="002804F8"/>
    <w:rsid w:val="00280664"/>
    <w:rsid w:val="00280F0B"/>
    <w:rsid w:val="00283EFE"/>
    <w:rsid w:val="00283FCC"/>
    <w:rsid w:val="00293325"/>
    <w:rsid w:val="002977AC"/>
    <w:rsid w:val="002A206D"/>
    <w:rsid w:val="002B61D2"/>
    <w:rsid w:val="002C2210"/>
    <w:rsid w:val="002C4666"/>
    <w:rsid w:val="002D284A"/>
    <w:rsid w:val="002D4822"/>
    <w:rsid w:val="002F1401"/>
    <w:rsid w:val="00303775"/>
    <w:rsid w:val="0030692D"/>
    <w:rsid w:val="00317ABA"/>
    <w:rsid w:val="00321C3C"/>
    <w:rsid w:val="0033312F"/>
    <w:rsid w:val="0033585D"/>
    <w:rsid w:val="00336CF0"/>
    <w:rsid w:val="00337560"/>
    <w:rsid w:val="00342455"/>
    <w:rsid w:val="0035452D"/>
    <w:rsid w:val="003636BD"/>
    <w:rsid w:val="00363F52"/>
    <w:rsid w:val="00365B45"/>
    <w:rsid w:val="00366F51"/>
    <w:rsid w:val="00384B04"/>
    <w:rsid w:val="00384B95"/>
    <w:rsid w:val="00386249"/>
    <w:rsid w:val="00391DE9"/>
    <w:rsid w:val="00391FAB"/>
    <w:rsid w:val="00392704"/>
    <w:rsid w:val="003A708F"/>
    <w:rsid w:val="003B1C0F"/>
    <w:rsid w:val="003B45DE"/>
    <w:rsid w:val="003B7080"/>
    <w:rsid w:val="003C00EA"/>
    <w:rsid w:val="003C67A5"/>
    <w:rsid w:val="003D0962"/>
    <w:rsid w:val="003D1245"/>
    <w:rsid w:val="003D18A4"/>
    <w:rsid w:val="003D6359"/>
    <w:rsid w:val="003E5626"/>
    <w:rsid w:val="003E733B"/>
    <w:rsid w:val="003F0468"/>
    <w:rsid w:val="003F12EB"/>
    <w:rsid w:val="003F5702"/>
    <w:rsid w:val="003F57FD"/>
    <w:rsid w:val="00401593"/>
    <w:rsid w:val="00401D20"/>
    <w:rsid w:val="004030F4"/>
    <w:rsid w:val="004031F8"/>
    <w:rsid w:val="004063B1"/>
    <w:rsid w:val="004068DF"/>
    <w:rsid w:val="004120F8"/>
    <w:rsid w:val="00413072"/>
    <w:rsid w:val="00414060"/>
    <w:rsid w:val="00416784"/>
    <w:rsid w:val="00421480"/>
    <w:rsid w:val="00423C1D"/>
    <w:rsid w:val="0042503A"/>
    <w:rsid w:val="00425134"/>
    <w:rsid w:val="00431DE2"/>
    <w:rsid w:val="004322D3"/>
    <w:rsid w:val="00441E67"/>
    <w:rsid w:val="00446EF9"/>
    <w:rsid w:val="00451593"/>
    <w:rsid w:val="00452E9B"/>
    <w:rsid w:val="00460D60"/>
    <w:rsid w:val="00467475"/>
    <w:rsid w:val="00470E3F"/>
    <w:rsid w:val="004712AA"/>
    <w:rsid w:val="00475248"/>
    <w:rsid w:val="00482B8F"/>
    <w:rsid w:val="0049152C"/>
    <w:rsid w:val="004A03E7"/>
    <w:rsid w:val="004A219F"/>
    <w:rsid w:val="004A26CF"/>
    <w:rsid w:val="004A5472"/>
    <w:rsid w:val="004B3103"/>
    <w:rsid w:val="004B6B8D"/>
    <w:rsid w:val="004C093A"/>
    <w:rsid w:val="004C0B88"/>
    <w:rsid w:val="004C0C64"/>
    <w:rsid w:val="004C3DA4"/>
    <w:rsid w:val="004D0E54"/>
    <w:rsid w:val="004F0ECB"/>
    <w:rsid w:val="004F4F49"/>
    <w:rsid w:val="00500677"/>
    <w:rsid w:val="00500E13"/>
    <w:rsid w:val="00505024"/>
    <w:rsid w:val="005071CC"/>
    <w:rsid w:val="0051088D"/>
    <w:rsid w:val="0052120B"/>
    <w:rsid w:val="00525E4B"/>
    <w:rsid w:val="0052607E"/>
    <w:rsid w:val="005264A2"/>
    <w:rsid w:val="00531A9A"/>
    <w:rsid w:val="005321A8"/>
    <w:rsid w:val="005356AA"/>
    <w:rsid w:val="005467F7"/>
    <w:rsid w:val="00552272"/>
    <w:rsid w:val="00552EFF"/>
    <w:rsid w:val="00554D58"/>
    <w:rsid w:val="00554DED"/>
    <w:rsid w:val="00555D86"/>
    <w:rsid w:val="00566034"/>
    <w:rsid w:val="00566844"/>
    <w:rsid w:val="00574A1C"/>
    <w:rsid w:val="00575229"/>
    <w:rsid w:val="0057689B"/>
    <w:rsid w:val="00580725"/>
    <w:rsid w:val="00580F9A"/>
    <w:rsid w:val="00587B55"/>
    <w:rsid w:val="005949F3"/>
    <w:rsid w:val="005C29CB"/>
    <w:rsid w:val="005D05EF"/>
    <w:rsid w:val="005D1700"/>
    <w:rsid w:val="005D32CC"/>
    <w:rsid w:val="005E27C0"/>
    <w:rsid w:val="005E754C"/>
    <w:rsid w:val="005F0657"/>
    <w:rsid w:val="005F0FF3"/>
    <w:rsid w:val="005F490A"/>
    <w:rsid w:val="00603C98"/>
    <w:rsid w:val="006049F1"/>
    <w:rsid w:val="00611C31"/>
    <w:rsid w:val="00613039"/>
    <w:rsid w:val="00614F4E"/>
    <w:rsid w:val="00622157"/>
    <w:rsid w:val="00624445"/>
    <w:rsid w:val="006258E3"/>
    <w:rsid w:val="0064260D"/>
    <w:rsid w:val="00661E0B"/>
    <w:rsid w:val="00664DAA"/>
    <w:rsid w:val="00666572"/>
    <w:rsid w:val="00675C58"/>
    <w:rsid w:val="00680784"/>
    <w:rsid w:val="0068651D"/>
    <w:rsid w:val="00686A79"/>
    <w:rsid w:val="00686B8E"/>
    <w:rsid w:val="00687633"/>
    <w:rsid w:val="00697B33"/>
    <w:rsid w:val="006A67F1"/>
    <w:rsid w:val="006B361F"/>
    <w:rsid w:val="006B48C3"/>
    <w:rsid w:val="006C096C"/>
    <w:rsid w:val="006C25CC"/>
    <w:rsid w:val="006D14BA"/>
    <w:rsid w:val="006D20F9"/>
    <w:rsid w:val="006D346C"/>
    <w:rsid w:val="006D3F55"/>
    <w:rsid w:val="006D45EB"/>
    <w:rsid w:val="006D609B"/>
    <w:rsid w:val="006D73C0"/>
    <w:rsid w:val="006E4BAD"/>
    <w:rsid w:val="006F1848"/>
    <w:rsid w:val="006F25CB"/>
    <w:rsid w:val="006F31AF"/>
    <w:rsid w:val="006F3D61"/>
    <w:rsid w:val="006F5E39"/>
    <w:rsid w:val="0070518F"/>
    <w:rsid w:val="00705313"/>
    <w:rsid w:val="00706047"/>
    <w:rsid w:val="00706287"/>
    <w:rsid w:val="00706418"/>
    <w:rsid w:val="00713AF8"/>
    <w:rsid w:val="007233C1"/>
    <w:rsid w:val="00725907"/>
    <w:rsid w:val="00726BD1"/>
    <w:rsid w:val="00737446"/>
    <w:rsid w:val="0074079F"/>
    <w:rsid w:val="00741E3F"/>
    <w:rsid w:val="00757448"/>
    <w:rsid w:val="00775155"/>
    <w:rsid w:val="00775D42"/>
    <w:rsid w:val="0079206D"/>
    <w:rsid w:val="0079586B"/>
    <w:rsid w:val="007A315A"/>
    <w:rsid w:val="007A5F54"/>
    <w:rsid w:val="007A7EA5"/>
    <w:rsid w:val="007B2871"/>
    <w:rsid w:val="007B2970"/>
    <w:rsid w:val="007B448D"/>
    <w:rsid w:val="007B6D96"/>
    <w:rsid w:val="007B745B"/>
    <w:rsid w:val="007B7769"/>
    <w:rsid w:val="007C05AC"/>
    <w:rsid w:val="007C0AC8"/>
    <w:rsid w:val="007C298D"/>
    <w:rsid w:val="007C505C"/>
    <w:rsid w:val="007D0F3A"/>
    <w:rsid w:val="007D313F"/>
    <w:rsid w:val="007D3F94"/>
    <w:rsid w:val="007D6B9F"/>
    <w:rsid w:val="007D70CA"/>
    <w:rsid w:val="007E143E"/>
    <w:rsid w:val="007E1DA2"/>
    <w:rsid w:val="007F2404"/>
    <w:rsid w:val="007F3C06"/>
    <w:rsid w:val="007F529C"/>
    <w:rsid w:val="008009CD"/>
    <w:rsid w:val="00802EB1"/>
    <w:rsid w:val="008073E5"/>
    <w:rsid w:val="00811E09"/>
    <w:rsid w:val="008241E9"/>
    <w:rsid w:val="008241EC"/>
    <w:rsid w:val="00824E9A"/>
    <w:rsid w:val="00825025"/>
    <w:rsid w:val="008252EC"/>
    <w:rsid w:val="00827041"/>
    <w:rsid w:val="008330AF"/>
    <w:rsid w:val="00834B2E"/>
    <w:rsid w:val="00837423"/>
    <w:rsid w:val="008431AF"/>
    <w:rsid w:val="00850474"/>
    <w:rsid w:val="00855401"/>
    <w:rsid w:val="00857253"/>
    <w:rsid w:val="00861DB6"/>
    <w:rsid w:val="0086551C"/>
    <w:rsid w:val="008771D8"/>
    <w:rsid w:val="008773A2"/>
    <w:rsid w:val="0088177B"/>
    <w:rsid w:val="0089129F"/>
    <w:rsid w:val="00894DF3"/>
    <w:rsid w:val="00894F90"/>
    <w:rsid w:val="008A333B"/>
    <w:rsid w:val="008A6404"/>
    <w:rsid w:val="008B734E"/>
    <w:rsid w:val="008C542E"/>
    <w:rsid w:val="008C5E25"/>
    <w:rsid w:val="008D1F8C"/>
    <w:rsid w:val="008D2161"/>
    <w:rsid w:val="008D2ED6"/>
    <w:rsid w:val="008E4BDE"/>
    <w:rsid w:val="008F14EE"/>
    <w:rsid w:val="00901CBD"/>
    <w:rsid w:val="0090328B"/>
    <w:rsid w:val="00906CA9"/>
    <w:rsid w:val="009117A1"/>
    <w:rsid w:val="009159B8"/>
    <w:rsid w:val="0092298F"/>
    <w:rsid w:val="00926E44"/>
    <w:rsid w:val="00934315"/>
    <w:rsid w:val="00941946"/>
    <w:rsid w:val="009438AE"/>
    <w:rsid w:val="00950CAA"/>
    <w:rsid w:val="00951AE7"/>
    <w:rsid w:val="00953FDC"/>
    <w:rsid w:val="00961F79"/>
    <w:rsid w:val="00962BD3"/>
    <w:rsid w:val="009648E4"/>
    <w:rsid w:val="00964A41"/>
    <w:rsid w:val="00972C68"/>
    <w:rsid w:val="009817FE"/>
    <w:rsid w:val="00984FBE"/>
    <w:rsid w:val="00987439"/>
    <w:rsid w:val="00994013"/>
    <w:rsid w:val="00994E3C"/>
    <w:rsid w:val="009A413B"/>
    <w:rsid w:val="009B6244"/>
    <w:rsid w:val="009B6CE5"/>
    <w:rsid w:val="009C0B7E"/>
    <w:rsid w:val="009C12BB"/>
    <w:rsid w:val="009C2D81"/>
    <w:rsid w:val="009C2EF7"/>
    <w:rsid w:val="009C4695"/>
    <w:rsid w:val="009C5199"/>
    <w:rsid w:val="009C604D"/>
    <w:rsid w:val="009D29E4"/>
    <w:rsid w:val="009E304F"/>
    <w:rsid w:val="009E5304"/>
    <w:rsid w:val="009E67C7"/>
    <w:rsid w:val="009F12D7"/>
    <w:rsid w:val="009F4CC7"/>
    <w:rsid w:val="009F4EB0"/>
    <w:rsid w:val="009F5370"/>
    <w:rsid w:val="009F5E04"/>
    <w:rsid w:val="00A01092"/>
    <w:rsid w:val="00A0485B"/>
    <w:rsid w:val="00A13015"/>
    <w:rsid w:val="00A14CEF"/>
    <w:rsid w:val="00A2159C"/>
    <w:rsid w:val="00A221AA"/>
    <w:rsid w:val="00A25763"/>
    <w:rsid w:val="00A31074"/>
    <w:rsid w:val="00A40307"/>
    <w:rsid w:val="00A41EB9"/>
    <w:rsid w:val="00A4731C"/>
    <w:rsid w:val="00A51134"/>
    <w:rsid w:val="00A62905"/>
    <w:rsid w:val="00A640CD"/>
    <w:rsid w:val="00A651B6"/>
    <w:rsid w:val="00A9231A"/>
    <w:rsid w:val="00A92DA0"/>
    <w:rsid w:val="00A94C2B"/>
    <w:rsid w:val="00A94F4E"/>
    <w:rsid w:val="00AA1E94"/>
    <w:rsid w:val="00AA79A0"/>
    <w:rsid w:val="00AB431D"/>
    <w:rsid w:val="00AB49BD"/>
    <w:rsid w:val="00AB5C81"/>
    <w:rsid w:val="00AC5559"/>
    <w:rsid w:val="00AD01E0"/>
    <w:rsid w:val="00AD510D"/>
    <w:rsid w:val="00AD68AF"/>
    <w:rsid w:val="00AE5410"/>
    <w:rsid w:val="00AF0E0D"/>
    <w:rsid w:val="00AF1F2D"/>
    <w:rsid w:val="00AF5F33"/>
    <w:rsid w:val="00B06356"/>
    <w:rsid w:val="00B06F6E"/>
    <w:rsid w:val="00B078F1"/>
    <w:rsid w:val="00B10D88"/>
    <w:rsid w:val="00B130AF"/>
    <w:rsid w:val="00B142CB"/>
    <w:rsid w:val="00B17882"/>
    <w:rsid w:val="00B25575"/>
    <w:rsid w:val="00B27EDB"/>
    <w:rsid w:val="00B31A9D"/>
    <w:rsid w:val="00B40E94"/>
    <w:rsid w:val="00B50344"/>
    <w:rsid w:val="00B5365C"/>
    <w:rsid w:val="00B54FF3"/>
    <w:rsid w:val="00B56A92"/>
    <w:rsid w:val="00B56DD2"/>
    <w:rsid w:val="00B605FC"/>
    <w:rsid w:val="00B742EC"/>
    <w:rsid w:val="00B7440D"/>
    <w:rsid w:val="00B76511"/>
    <w:rsid w:val="00B765FC"/>
    <w:rsid w:val="00B841A1"/>
    <w:rsid w:val="00B8451C"/>
    <w:rsid w:val="00B86D84"/>
    <w:rsid w:val="00B90D4A"/>
    <w:rsid w:val="00BA06AA"/>
    <w:rsid w:val="00BA09A4"/>
    <w:rsid w:val="00BA3B73"/>
    <w:rsid w:val="00BA5E2D"/>
    <w:rsid w:val="00BB402D"/>
    <w:rsid w:val="00BB5B56"/>
    <w:rsid w:val="00BC48FC"/>
    <w:rsid w:val="00BD145E"/>
    <w:rsid w:val="00BE4F1D"/>
    <w:rsid w:val="00BE6CC6"/>
    <w:rsid w:val="00C02CC8"/>
    <w:rsid w:val="00C048A1"/>
    <w:rsid w:val="00C05E46"/>
    <w:rsid w:val="00C07DE7"/>
    <w:rsid w:val="00C10A10"/>
    <w:rsid w:val="00C1151F"/>
    <w:rsid w:val="00C11D1F"/>
    <w:rsid w:val="00C15491"/>
    <w:rsid w:val="00C16040"/>
    <w:rsid w:val="00C233EF"/>
    <w:rsid w:val="00C259FA"/>
    <w:rsid w:val="00C25E7E"/>
    <w:rsid w:val="00C32DE0"/>
    <w:rsid w:val="00C36C6E"/>
    <w:rsid w:val="00C4117E"/>
    <w:rsid w:val="00C60731"/>
    <w:rsid w:val="00C61BE7"/>
    <w:rsid w:val="00C62991"/>
    <w:rsid w:val="00C63302"/>
    <w:rsid w:val="00C660AF"/>
    <w:rsid w:val="00C707F2"/>
    <w:rsid w:val="00C730B9"/>
    <w:rsid w:val="00C73625"/>
    <w:rsid w:val="00C7634C"/>
    <w:rsid w:val="00C926FD"/>
    <w:rsid w:val="00C94A8A"/>
    <w:rsid w:val="00C97131"/>
    <w:rsid w:val="00C978AD"/>
    <w:rsid w:val="00CA157C"/>
    <w:rsid w:val="00CA160B"/>
    <w:rsid w:val="00CA54C5"/>
    <w:rsid w:val="00CA61E8"/>
    <w:rsid w:val="00CB3A7C"/>
    <w:rsid w:val="00CC16BE"/>
    <w:rsid w:val="00CC2271"/>
    <w:rsid w:val="00CD0DCC"/>
    <w:rsid w:val="00CE2FC7"/>
    <w:rsid w:val="00CE3139"/>
    <w:rsid w:val="00CE6777"/>
    <w:rsid w:val="00CE7E1C"/>
    <w:rsid w:val="00CF0AB3"/>
    <w:rsid w:val="00CF4EC6"/>
    <w:rsid w:val="00CF7F99"/>
    <w:rsid w:val="00D04C39"/>
    <w:rsid w:val="00D060BC"/>
    <w:rsid w:val="00D12B75"/>
    <w:rsid w:val="00D16367"/>
    <w:rsid w:val="00D263B5"/>
    <w:rsid w:val="00D30C45"/>
    <w:rsid w:val="00D42F0B"/>
    <w:rsid w:val="00D44148"/>
    <w:rsid w:val="00D50DAA"/>
    <w:rsid w:val="00D53844"/>
    <w:rsid w:val="00D605ED"/>
    <w:rsid w:val="00D66206"/>
    <w:rsid w:val="00D758A4"/>
    <w:rsid w:val="00D81A14"/>
    <w:rsid w:val="00D82D84"/>
    <w:rsid w:val="00D91814"/>
    <w:rsid w:val="00DA13EA"/>
    <w:rsid w:val="00DA285A"/>
    <w:rsid w:val="00DA3437"/>
    <w:rsid w:val="00DA722D"/>
    <w:rsid w:val="00DB231E"/>
    <w:rsid w:val="00DB756E"/>
    <w:rsid w:val="00DC0E59"/>
    <w:rsid w:val="00DC2993"/>
    <w:rsid w:val="00DC2BB3"/>
    <w:rsid w:val="00DC7B0C"/>
    <w:rsid w:val="00DD101F"/>
    <w:rsid w:val="00DE19AA"/>
    <w:rsid w:val="00DE3601"/>
    <w:rsid w:val="00DE6E32"/>
    <w:rsid w:val="00DE75D3"/>
    <w:rsid w:val="00DF3489"/>
    <w:rsid w:val="00DF3574"/>
    <w:rsid w:val="00DF5E79"/>
    <w:rsid w:val="00DF725D"/>
    <w:rsid w:val="00E009C7"/>
    <w:rsid w:val="00E02AA5"/>
    <w:rsid w:val="00E04E62"/>
    <w:rsid w:val="00E103A2"/>
    <w:rsid w:val="00E110B0"/>
    <w:rsid w:val="00E125E4"/>
    <w:rsid w:val="00E12E5C"/>
    <w:rsid w:val="00E147F4"/>
    <w:rsid w:val="00E153FE"/>
    <w:rsid w:val="00E157CD"/>
    <w:rsid w:val="00E20EEA"/>
    <w:rsid w:val="00E2301D"/>
    <w:rsid w:val="00E3665F"/>
    <w:rsid w:val="00E43B93"/>
    <w:rsid w:val="00E46787"/>
    <w:rsid w:val="00E5167D"/>
    <w:rsid w:val="00E57347"/>
    <w:rsid w:val="00E66EF4"/>
    <w:rsid w:val="00E853F2"/>
    <w:rsid w:val="00E85F0B"/>
    <w:rsid w:val="00E908B8"/>
    <w:rsid w:val="00E926A5"/>
    <w:rsid w:val="00E966D8"/>
    <w:rsid w:val="00EA3A4E"/>
    <w:rsid w:val="00EA3D17"/>
    <w:rsid w:val="00EA788B"/>
    <w:rsid w:val="00EB26E3"/>
    <w:rsid w:val="00EB456F"/>
    <w:rsid w:val="00EC0190"/>
    <w:rsid w:val="00ED0366"/>
    <w:rsid w:val="00ED1002"/>
    <w:rsid w:val="00ED1AC8"/>
    <w:rsid w:val="00ED3019"/>
    <w:rsid w:val="00ED3ADC"/>
    <w:rsid w:val="00ED72E2"/>
    <w:rsid w:val="00EE1E14"/>
    <w:rsid w:val="00EF4A01"/>
    <w:rsid w:val="00EF79F2"/>
    <w:rsid w:val="00F11626"/>
    <w:rsid w:val="00F15397"/>
    <w:rsid w:val="00F24A0D"/>
    <w:rsid w:val="00F2768F"/>
    <w:rsid w:val="00F30F53"/>
    <w:rsid w:val="00F311B3"/>
    <w:rsid w:val="00F31FE1"/>
    <w:rsid w:val="00F3215D"/>
    <w:rsid w:val="00F362D4"/>
    <w:rsid w:val="00F36FF3"/>
    <w:rsid w:val="00F4236F"/>
    <w:rsid w:val="00F44760"/>
    <w:rsid w:val="00F54563"/>
    <w:rsid w:val="00F55C19"/>
    <w:rsid w:val="00F62BC3"/>
    <w:rsid w:val="00F637FF"/>
    <w:rsid w:val="00F653B4"/>
    <w:rsid w:val="00F65AAF"/>
    <w:rsid w:val="00F66B9E"/>
    <w:rsid w:val="00F717ED"/>
    <w:rsid w:val="00F7279E"/>
    <w:rsid w:val="00F7520A"/>
    <w:rsid w:val="00F75DED"/>
    <w:rsid w:val="00F80268"/>
    <w:rsid w:val="00F85BD9"/>
    <w:rsid w:val="00F933BB"/>
    <w:rsid w:val="00F9553F"/>
    <w:rsid w:val="00F95610"/>
    <w:rsid w:val="00F975D7"/>
    <w:rsid w:val="00FB0043"/>
    <w:rsid w:val="00FB21EB"/>
    <w:rsid w:val="00FC04E0"/>
    <w:rsid w:val="00FC479B"/>
    <w:rsid w:val="00FD6AC9"/>
    <w:rsid w:val="00FE0934"/>
    <w:rsid w:val="00FE15AB"/>
    <w:rsid w:val="00FE2E83"/>
    <w:rsid w:val="00FF0E26"/>
    <w:rsid w:val="00FF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86F5"/>
  <w15:docId w15:val="{82F97F8A-A4B6-46C0-8573-BD06C97E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FB7"/>
    <w:rPr>
      <w:sz w:val="24"/>
      <w:szCs w:val="24"/>
      <w:lang w:eastAsia="en-US"/>
    </w:rPr>
  </w:style>
  <w:style w:type="paragraph" w:styleId="Heading1">
    <w:name w:val="heading 1"/>
    <w:basedOn w:val="Normal"/>
    <w:next w:val="BodyText"/>
    <w:qFormat/>
    <w:rsid w:val="00C048A1"/>
    <w:pPr>
      <w:keepNext/>
      <w:tabs>
        <w:tab w:val="left" w:pos="720"/>
      </w:tabs>
      <w:spacing w:before="240" w:after="60"/>
      <w:jc w:val="center"/>
      <w:outlineLvl w:val="0"/>
    </w:pPr>
    <w:rPr>
      <w:rFonts w:ascii="Times New Roman Bold" w:hAnsi="Times New Roman Bold"/>
      <w:b/>
      <w:kern w:val="28"/>
      <w:sz w:val="28"/>
      <w:szCs w:val="20"/>
    </w:rPr>
  </w:style>
  <w:style w:type="paragraph" w:styleId="Heading2">
    <w:name w:val="heading 2"/>
    <w:basedOn w:val="Normal"/>
    <w:next w:val="BodyText"/>
    <w:qFormat/>
    <w:rsid w:val="00C048A1"/>
    <w:pPr>
      <w:keepNext/>
      <w:tabs>
        <w:tab w:val="left" w:pos="720"/>
      </w:tabs>
      <w:spacing w:before="240" w:after="60"/>
      <w:jc w:val="both"/>
      <w:outlineLvl w:val="1"/>
    </w:pPr>
    <w:rPr>
      <w:rFonts w:ascii="Times New Roman Bold" w:hAnsi="Times New Roman Bold"/>
      <w:b/>
      <w:smallCaps/>
      <w:szCs w:val="20"/>
    </w:rPr>
  </w:style>
  <w:style w:type="paragraph" w:styleId="Heading3">
    <w:name w:val="heading 3"/>
    <w:basedOn w:val="Normal"/>
    <w:next w:val="BodyText"/>
    <w:qFormat/>
    <w:rsid w:val="00C048A1"/>
    <w:pPr>
      <w:keepNext/>
      <w:spacing w:before="240" w:after="60"/>
      <w:jc w:val="both"/>
      <w:outlineLvl w:val="2"/>
    </w:pPr>
    <w:rPr>
      <w:b/>
      <w:szCs w:val="20"/>
    </w:rPr>
  </w:style>
  <w:style w:type="paragraph" w:styleId="Heading4">
    <w:name w:val="heading 4"/>
    <w:basedOn w:val="Normal"/>
    <w:next w:val="BodyText"/>
    <w:qFormat/>
    <w:rsid w:val="00C16040"/>
    <w:pPr>
      <w:keepNext/>
      <w:spacing w:before="240" w:after="60"/>
      <w:jc w:val="both"/>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A5E2D"/>
    <w:pPr>
      <w:spacing w:after="120"/>
      <w:jc w:val="both"/>
    </w:pPr>
    <w:rPr>
      <w:szCs w:val="20"/>
    </w:rPr>
  </w:style>
  <w:style w:type="paragraph" w:styleId="BodyTextIndent">
    <w:name w:val="Body Text Indent"/>
    <w:basedOn w:val="Normal"/>
    <w:link w:val="BodyTextIndentChar"/>
    <w:rsid w:val="007B6D96"/>
    <w:pPr>
      <w:spacing w:after="120"/>
      <w:ind w:left="567"/>
      <w:jc w:val="both"/>
    </w:pPr>
    <w:rPr>
      <w:sz w:val="20"/>
      <w:szCs w:val="20"/>
    </w:rPr>
  </w:style>
  <w:style w:type="character" w:styleId="FootnoteReference">
    <w:name w:val="footnote reference"/>
    <w:semiHidden/>
    <w:rsid w:val="00C048A1"/>
    <w:rPr>
      <w:rFonts w:ascii="Times New Roman" w:hAnsi="Times New Roman"/>
      <w:sz w:val="20"/>
      <w:vertAlign w:val="superscript"/>
    </w:rPr>
  </w:style>
  <w:style w:type="paragraph" w:styleId="FootnoteText">
    <w:name w:val="footnote text"/>
    <w:basedOn w:val="Normal"/>
    <w:link w:val="FootnoteTextChar"/>
    <w:semiHidden/>
    <w:rsid w:val="00C048A1"/>
    <w:pPr>
      <w:spacing w:before="120"/>
      <w:ind w:firstLine="720"/>
      <w:jc w:val="both"/>
    </w:pPr>
    <w:rPr>
      <w:sz w:val="20"/>
      <w:szCs w:val="20"/>
    </w:rPr>
  </w:style>
  <w:style w:type="character" w:styleId="LineNumber">
    <w:name w:val="line number"/>
    <w:basedOn w:val="DefaultParagraphFont"/>
    <w:rsid w:val="00C048A1"/>
    <w:rPr>
      <w:rFonts w:ascii="Times New Roman" w:hAnsi="Times New Roman"/>
      <w:sz w:val="20"/>
    </w:rPr>
  </w:style>
  <w:style w:type="character" w:styleId="PageNumber">
    <w:name w:val="page number"/>
    <w:basedOn w:val="DefaultParagraphFont"/>
    <w:rsid w:val="00C048A1"/>
  </w:style>
  <w:style w:type="paragraph" w:customStyle="1" w:styleId="OutlineheadingI">
    <w:name w:val="Outline heading I"/>
    <w:basedOn w:val="Heading1"/>
    <w:next w:val="BodyText"/>
    <w:rsid w:val="00C048A1"/>
    <w:pPr>
      <w:numPr>
        <w:numId w:val="1"/>
      </w:numPr>
      <w:jc w:val="left"/>
    </w:pPr>
  </w:style>
  <w:style w:type="paragraph" w:customStyle="1" w:styleId="OutlineheadingA">
    <w:name w:val="Outline heading A"/>
    <w:basedOn w:val="OutlineheadingI"/>
    <w:next w:val="BodyText"/>
    <w:autoRedefine/>
    <w:rsid w:val="00C048A1"/>
    <w:pPr>
      <w:numPr>
        <w:numId w:val="2"/>
      </w:numPr>
    </w:pPr>
    <w:rPr>
      <w:sz w:val="24"/>
    </w:rPr>
  </w:style>
  <w:style w:type="paragraph" w:customStyle="1" w:styleId="Outlineheading1">
    <w:name w:val="Outline heading 1"/>
    <w:basedOn w:val="OutlineheadingI"/>
    <w:next w:val="BodyText"/>
    <w:rsid w:val="00C048A1"/>
    <w:pPr>
      <w:numPr>
        <w:ilvl w:val="2"/>
        <w:numId w:val="3"/>
      </w:numPr>
    </w:pPr>
    <w:rPr>
      <w:i/>
      <w:sz w:val="24"/>
    </w:rPr>
  </w:style>
  <w:style w:type="paragraph" w:customStyle="1" w:styleId="1">
    <w:name w:val="1"/>
    <w:basedOn w:val="Normal"/>
    <w:rsid w:val="00C048A1"/>
    <w:pPr>
      <w:keepNext/>
      <w:numPr>
        <w:ilvl w:val="2"/>
        <w:numId w:val="6"/>
      </w:numPr>
      <w:spacing w:after="120"/>
      <w:jc w:val="both"/>
    </w:pPr>
    <w:rPr>
      <w:szCs w:val="20"/>
    </w:rPr>
  </w:style>
  <w:style w:type="paragraph" w:customStyle="1" w:styleId="a0">
    <w:name w:val="a"/>
    <w:basedOn w:val="1"/>
    <w:rsid w:val="00C048A1"/>
    <w:pPr>
      <w:numPr>
        <w:ilvl w:val="3"/>
      </w:numPr>
      <w:outlineLvl w:val="3"/>
    </w:pPr>
  </w:style>
  <w:style w:type="paragraph" w:customStyle="1" w:styleId="A">
    <w:name w:val="A"/>
    <w:basedOn w:val="Normal"/>
    <w:rsid w:val="00C048A1"/>
    <w:pPr>
      <w:keepNext/>
      <w:numPr>
        <w:ilvl w:val="1"/>
        <w:numId w:val="6"/>
      </w:numPr>
      <w:spacing w:after="120"/>
      <w:jc w:val="both"/>
    </w:pPr>
    <w:rPr>
      <w:szCs w:val="20"/>
    </w:rPr>
  </w:style>
  <w:style w:type="paragraph" w:customStyle="1" w:styleId="JohnA0">
    <w:name w:val="John A"/>
    <w:basedOn w:val="BodyText2"/>
    <w:rsid w:val="00E103A2"/>
    <w:pPr>
      <w:spacing w:line="240" w:lineRule="auto"/>
      <w:jc w:val="both"/>
    </w:pPr>
  </w:style>
  <w:style w:type="paragraph" w:styleId="BodyText2">
    <w:name w:val="Body Text 2"/>
    <w:basedOn w:val="Normal"/>
    <w:rsid w:val="00E103A2"/>
    <w:pPr>
      <w:numPr>
        <w:ilvl w:val="1"/>
        <w:numId w:val="10"/>
      </w:numPr>
      <w:spacing w:after="120" w:line="480" w:lineRule="auto"/>
    </w:pPr>
  </w:style>
  <w:style w:type="paragraph" w:customStyle="1" w:styleId="JohnI">
    <w:name w:val="John I"/>
    <w:basedOn w:val="BodyText"/>
    <w:rsid w:val="00E103A2"/>
  </w:style>
  <w:style w:type="paragraph" w:customStyle="1" w:styleId="John1">
    <w:name w:val="John 1"/>
    <w:basedOn w:val="Normal"/>
    <w:rsid w:val="00E103A2"/>
    <w:pPr>
      <w:spacing w:after="120"/>
      <w:jc w:val="both"/>
    </w:pPr>
  </w:style>
  <w:style w:type="paragraph" w:customStyle="1" w:styleId="Johna">
    <w:name w:val="John (a)"/>
    <w:basedOn w:val="Normal"/>
    <w:rsid w:val="00E103A2"/>
    <w:pPr>
      <w:numPr>
        <w:ilvl w:val="3"/>
        <w:numId w:val="10"/>
      </w:numPr>
      <w:spacing w:after="120"/>
      <w:jc w:val="both"/>
    </w:pPr>
  </w:style>
  <w:style w:type="paragraph" w:styleId="Quote">
    <w:name w:val="Quote"/>
    <w:basedOn w:val="Normal"/>
    <w:next w:val="Normal"/>
    <w:link w:val="QuoteChar"/>
    <w:uiPriority w:val="29"/>
    <w:qFormat/>
    <w:rsid w:val="00FE0934"/>
    <w:pPr>
      <w:spacing w:after="120"/>
      <w:ind w:left="567"/>
      <w:jc w:val="both"/>
    </w:pPr>
    <w:rPr>
      <w:iCs/>
      <w:color w:val="000000"/>
      <w:sz w:val="22"/>
    </w:rPr>
  </w:style>
  <w:style w:type="character" w:customStyle="1" w:styleId="QuoteChar">
    <w:name w:val="Quote Char"/>
    <w:basedOn w:val="DefaultParagraphFont"/>
    <w:link w:val="Quote"/>
    <w:uiPriority w:val="29"/>
    <w:rsid w:val="00FE0934"/>
    <w:rPr>
      <w:iCs/>
      <w:color w:val="000000"/>
      <w:sz w:val="22"/>
      <w:szCs w:val="24"/>
      <w:lang w:eastAsia="en-US"/>
    </w:rPr>
  </w:style>
  <w:style w:type="numbering" w:customStyle="1" w:styleId="Outline">
    <w:name w:val="Outline"/>
    <w:uiPriority w:val="99"/>
    <w:rsid w:val="004A219F"/>
    <w:pPr>
      <w:numPr>
        <w:numId w:val="11"/>
      </w:numPr>
    </w:pPr>
  </w:style>
  <w:style w:type="paragraph" w:styleId="List">
    <w:name w:val="List"/>
    <w:basedOn w:val="Normal"/>
    <w:rsid w:val="00011FB7"/>
    <w:pPr>
      <w:numPr>
        <w:numId w:val="20"/>
      </w:numPr>
      <w:spacing w:after="120"/>
      <w:ind w:left="357" w:hanging="357"/>
    </w:pPr>
  </w:style>
  <w:style w:type="paragraph" w:styleId="List2">
    <w:name w:val="List 2"/>
    <w:basedOn w:val="Normal"/>
    <w:rsid w:val="00011FB7"/>
    <w:pPr>
      <w:numPr>
        <w:ilvl w:val="1"/>
        <w:numId w:val="20"/>
      </w:numPr>
      <w:spacing w:after="120"/>
      <w:ind w:left="714" w:hanging="357"/>
    </w:pPr>
  </w:style>
  <w:style w:type="paragraph" w:styleId="List3">
    <w:name w:val="List 3"/>
    <w:basedOn w:val="Normal"/>
    <w:rsid w:val="00011FB7"/>
    <w:pPr>
      <w:numPr>
        <w:ilvl w:val="2"/>
        <w:numId w:val="20"/>
      </w:numPr>
      <w:spacing w:after="120"/>
      <w:ind w:left="1077" w:hanging="357"/>
    </w:pPr>
  </w:style>
  <w:style w:type="paragraph" w:styleId="List4">
    <w:name w:val="List 4"/>
    <w:basedOn w:val="Normal"/>
    <w:rsid w:val="00011FB7"/>
    <w:pPr>
      <w:numPr>
        <w:ilvl w:val="3"/>
        <w:numId w:val="20"/>
      </w:numPr>
      <w:spacing w:after="120"/>
      <w:ind w:left="1434" w:hanging="357"/>
    </w:pPr>
  </w:style>
  <w:style w:type="paragraph" w:styleId="List5">
    <w:name w:val="List 5"/>
    <w:basedOn w:val="Normal"/>
    <w:rsid w:val="00011FB7"/>
    <w:pPr>
      <w:numPr>
        <w:ilvl w:val="4"/>
        <w:numId w:val="20"/>
      </w:numPr>
      <w:spacing w:after="120"/>
      <w:ind w:left="1797" w:hanging="357"/>
    </w:pPr>
  </w:style>
  <w:style w:type="numbering" w:customStyle="1" w:styleId="Numbeedlist">
    <w:name w:val="Numbeed list"/>
    <w:uiPriority w:val="99"/>
    <w:rsid w:val="00850474"/>
    <w:pPr>
      <w:numPr>
        <w:numId w:val="21"/>
      </w:numPr>
    </w:pPr>
  </w:style>
  <w:style w:type="table" w:styleId="TableGrid">
    <w:name w:val="Table Grid"/>
    <w:basedOn w:val="TableNormal"/>
    <w:rsid w:val="00C2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B61D2"/>
    <w:rPr>
      <w:sz w:val="24"/>
      <w:lang w:eastAsia="en-US"/>
    </w:rPr>
  </w:style>
  <w:style w:type="character" w:customStyle="1" w:styleId="BodyTextIndentChar">
    <w:name w:val="Body Text Indent Char"/>
    <w:basedOn w:val="DefaultParagraphFont"/>
    <w:link w:val="BodyTextIndent"/>
    <w:rsid w:val="002B61D2"/>
    <w:rPr>
      <w:lang w:eastAsia="en-US"/>
    </w:rPr>
  </w:style>
  <w:style w:type="character" w:customStyle="1" w:styleId="FootnoteTextChar">
    <w:name w:val="Footnote Text Char"/>
    <w:basedOn w:val="DefaultParagraphFont"/>
    <w:link w:val="FootnoteText"/>
    <w:semiHidden/>
    <w:rsid w:val="002B61D2"/>
    <w:rPr>
      <w:lang w:eastAsia="en-US"/>
    </w:rPr>
  </w:style>
  <w:style w:type="character" w:customStyle="1" w:styleId="code">
    <w:name w:val="code"/>
    <w:basedOn w:val="DefaultParagraphFont"/>
    <w:rsid w:val="002B61D2"/>
  </w:style>
  <w:style w:type="paragraph" w:styleId="Header">
    <w:name w:val="header"/>
    <w:basedOn w:val="Normal"/>
    <w:link w:val="HeaderChar"/>
    <w:unhideWhenUsed/>
    <w:rsid w:val="002804F8"/>
    <w:pPr>
      <w:tabs>
        <w:tab w:val="center" w:pos="4513"/>
        <w:tab w:val="right" w:pos="9026"/>
      </w:tabs>
    </w:pPr>
  </w:style>
  <w:style w:type="character" w:customStyle="1" w:styleId="HeaderChar">
    <w:name w:val="Header Char"/>
    <w:basedOn w:val="DefaultParagraphFont"/>
    <w:link w:val="Header"/>
    <w:rsid w:val="002804F8"/>
    <w:rPr>
      <w:sz w:val="24"/>
      <w:szCs w:val="24"/>
      <w:lang w:eastAsia="en-US"/>
    </w:rPr>
  </w:style>
  <w:style w:type="paragraph" w:styleId="Footer">
    <w:name w:val="footer"/>
    <w:basedOn w:val="Normal"/>
    <w:link w:val="FooterChar"/>
    <w:uiPriority w:val="99"/>
    <w:unhideWhenUsed/>
    <w:rsid w:val="002804F8"/>
    <w:pPr>
      <w:tabs>
        <w:tab w:val="center" w:pos="4513"/>
        <w:tab w:val="right" w:pos="9026"/>
      </w:tabs>
    </w:pPr>
  </w:style>
  <w:style w:type="character" w:customStyle="1" w:styleId="FooterChar">
    <w:name w:val="Footer Char"/>
    <w:basedOn w:val="DefaultParagraphFont"/>
    <w:link w:val="Footer"/>
    <w:uiPriority w:val="99"/>
    <w:rsid w:val="002804F8"/>
    <w:rPr>
      <w:sz w:val="24"/>
      <w:szCs w:val="24"/>
      <w:lang w:eastAsia="en-US"/>
    </w:rPr>
  </w:style>
  <w:style w:type="character" w:styleId="CommentReference">
    <w:name w:val="annotation reference"/>
    <w:basedOn w:val="DefaultParagraphFont"/>
    <w:semiHidden/>
    <w:unhideWhenUsed/>
    <w:rsid w:val="00392704"/>
    <w:rPr>
      <w:sz w:val="16"/>
      <w:szCs w:val="16"/>
    </w:rPr>
  </w:style>
  <w:style w:type="paragraph" w:styleId="CommentText">
    <w:name w:val="annotation text"/>
    <w:basedOn w:val="Normal"/>
    <w:link w:val="CommentTextChar"/>
    <w:semiHidden/>
    <w:unhideWhenUsed/>
    <w:rsid w:val="00392704"/>
    <w:rPr>
      <w:sz w:val="20"/>
      <w:szCs w:val="20"/>
    </w:rPr>
  </w:style>
  <w:style w:type="character" w:customStyle="1" w:styleId="CommentTextChar">
    <w:name w:val="Comment Text Char"/>
    <w:basedOn w:val="DefaultParagraphFont"/>
    <w:link w:val="CommentText"/>
    <w:semiHidden/>
    <w:rsid w:val="00392704"/>
    <w:rPr>
      <w:lang w:eastAsia="en-US"/>
    </w:rPr>
  </w:style>
  <w:style w:type="paragraph" w:styleId="CommentSubject">
    <w:name w:val="annotation subject"/>
    <w:basedOn w:val="CommentText"/>
    <w:next w:val="CommentText"/>
    <w:link w:val="CommentSubjectChar"/>
    <w:semiHidden/>
    <w:unhideWhenUsed/>
    <w:rsid w:val="00392704"/>
    <w:rPr>
      <w:b/>
      <w:bCs/>
    </w:rPr>
  </w:style>
  <w:style w:type="character" w:customStyle="1" w:styleId="CommentSubjectChar">
    <w:name w:val="Comment Subject Char"/>
    <w:basedOn w:val="CommentTextChar"/>
    <w:link w:val="CommentSubject"/>
    <w:semiHidden/>
    <w:rsid w:val="00392704"/>
    <w:rPr>
      <w:b/>
      <w:bCs/>
      <w:lang w:eastAsia="en-US"/>
    </w:rPr>
  </w:style>
  <w:style w:type="character" w:styleId="Hyperlink">
    <w:name w:val="Hyperlink"/>
    <w:basedOn w:val="DefaultParagraphFont"/>
    <w:unhideWhenUsed/>
    <w:rsid w:val="00775D42"/>
    <w:rPr>
      <w:color w:val="0000FF" w:themeColor="hyperlink"/>
      <w:u w:val="single"/>
    </w:rPr>
  </w:style>
  <w:style w:type="character" w:styleId="UnresolvedMention">
    <w:name w:val="Unresolved Mention"/>
    <w:basedOn w:val="DefaultParagraphFont"/>
    <w:uiPriority w:val="99"/>
    <w:semiHidden/>
    <w:unhideWhenUsed/>
    <w:rsid w:val="00775D42"/>
    <w:rPr>
      <w:color w:val="605E5C"/>
      <w:shd w:val="clear" w:color="auto" w:fill="E1DFDD"/>
    </w:rPr>
  </w:style>
  <w:style w:type="character" w:styleId="FollowedHyperlink">
    <w:name w:val="FollowedHyperlink"/>
    <w:basedOn w:val="DefaultParagraphFont"/>
    <w:semiHidden/>
    <w:unhideWhenUsed/>
    <w:rsid w:val="007233C1"/>
    <w:rPr>
      <w:color w:val="800080" w:themeColor="followedHyperlink"/>
      <w:u w:val="single"/>
    </w:rPr>
  </w:style>
  <w:style w:type="paragraph" w:styleId="Revision">
    <w:name w:val="Revision"/>
    <w:hidden/>
    <w:uiPriority w:val="99"/>
    <w:semiHidden/>
    <w:rsid w:val="00DA13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5392">
      <w:bodyDiv w:val="1"/>
      <w:marLeft w:val="0"/>
      <w:marRight w:val="0"/>
      <w:marTop w:val="0"/>
      <w:marBottom w:val="0"/>
      <w:divBdr>
        <w:top w:val="none" w:sz="0" w:space="0" w:color="auto"/>
        <w:left w:val="none" w:sz="0" w:space="0" w:color="auto"/>
        <w:bottom w:val="none" w:sz="0" w:space="0" w:color="auto"/>
        <w:right w:val="none" w:sz="0" w:space="0" w:color="auto"/>
      </w:divBdr>
    </w:div>
    <w:div w:id="1252159520">
      <w:bodyDiv w:val="1"/>
      <w:marLeft w:val="0"/>
      <w:marRight w:val="0"/>
      <w:marTop w:val="0"/>
      <w:marBottom w:val="0"/>
      <w:divBdr>
        <w:top w:val="none" w:sz="0" w:space="0" w:color="auto"/>
        <w:left w:val="none" w:sz="0" w:space="0" w:color="auto"/>
        <w:bottom w:val="none" w:sz="0" w:space="0" w:color="auto"/>
        <w:right w:val="none" w:sz="0" w:space="0" w:color="auto"/>
      </w:divBdr>
    </w:div>
    <w:div w:id="1513834133">
      <w:bodyDiv w:val="1"/>
      <w:marLeft w:val="0"/>
      <w:marRight w:val="0"/>
      <w:marTop w:val="0"/>
      <w:marBottom w:val="0"/>
      <w:divBdr>
        <w:top w:val="none" w:sz="0" w:space="0" w:color="auto"/>
        <w:left w:val="none" w:sz="0" w:space="0" w:color="auto"/>
        <w:bottom w:val="none" w:sz="0" w:space="0" w:color="auto"/>
        <w:right w:val="none" w:sz="0" w:space="0" w:color="auto"/>
      </w:divBdr>
    </w:div>
    <w:div w:id="1804614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xtreatieshist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ohn\Documents\Custom%20Office%20Templates\John%2010%20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47C8-24FB-4A7B-A418-46609822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10 old</Template>
  <TotalTime>7</TotalTime>
  <Pages>20</Pages>
  <Words>7375</Words>
  <Characters>42042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Avery Jones</dc:creator>
  <cp:keywords/>
  <dc:description/>
  <cp:lastModifiedBy>John Avery Jones</cp:lastModifiedBy>
  <cp:revision>6</cp:revision>
  <dcterms:created xsi:type="dcterms:W3CDTF">2022-06-20T07:48:00Z</dcterms:created>
  <dcterms:modified xsi:type="dcterms:W3CDTF">2022-06-20T10:26:00Z</dcterms:modified>
</cp:coreProperties>
</file>