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EE497" w14:textId="5E08E58D" w:rsidR="007F0F2D" w:rsidRDefault="007F0F2D" w:rsidP="007F0F2D">
      <w:pPr>
        <w:spacing w:line="240" w:lineRule="auto"/>
        <w:jc w:val="center"/>
        <w:rPr>
          <w:rFonts w:ascii="Book Antiqua" w:hAnsi="Book Antiqua" w:cstheme="minorHAnsi"/>
          <w:b/>
          <w:bCs/>
          <w:i/>
          <w:iCs/>
          <w:sz w:val="24"/>
          <w:szCs w:val="24"/>
        </w:rPr>
      </w:pPr>
      <w:r w:rsidRPr="008B04E6">
        <w:rPr>
          <w:rFonts w:ascii="Book Antiqua" w:hAnsi="Book Antiqua" w:cstheme="minorHAnsi"/>
          <w:b/>
          <w:bCs/>
          <w:i/>
          <w:iCs/>
          <w:sz w:val="24"/>
          <w:szCs w:val="24"/>
        </w:rPr>
        <w:t xml:space="preserve">Administrative </w:t>
      </w:r>
      <w:r w:rsidR="00A37C46">
        <w:rPr>
          <w:rFonts w:ascii="Book Antiqua" w:hAnsi="Book Antiqua" w:cstheme="minorHAnsi"/>
          <w:b/>
          <w:bCs/>
          <w:i/>
          <w:iCs/>
          <w:sz w:val="24"/>
          <w:szCs w:val="24"/>
        </w:rPr>
        <w:t xml:space="preserve">Areas </w:t>
      </w:r>
      <w:r w:rsidRPr="008B04E6">
        <w:rPr>
          <w:rFonts w:ascii="Book Antiqua" w:hAnsi="Book Antiqua" w:cstheme="minorHAnsi"/>
          <w:b/>
          <w:bCs/>
          <w:i/>
          <w:iCs/>
          <w:sz w:val="24"/>
          <w:szCs w:val="24"/>
        </w:rPr>
        <w:t>in the History of Income Tax Law: A Challenging Anachronism</w:t>
      </w:r>
    </w:p>
    <w:p w14:paraId="206C2243" w14:textId="5662526A" w:rsidR="008B04E6" w:rsidRDefault="008B04E6" w:rsidP="007F0F2D">
      <w:pPr>
        <w:spacing w:line="240" w:lineRule="auto"/>
        <w:jc w:val="center"/>
        <w:rPr>
          <w:rFonts w:ascii="Book Antiqua" w:hAnsi="Book Antiqua" w:cstheme="minorHAnsi"/>
          <w:b/>
          <w:bCs/>
          <w:sz w:val="24"/>
          <w:szCs w:val="24"/>
        </w:rPr>
      </w:pPr>
      <w:r>
        <w:rPr>
          <w:rFonts w:ascii="Book Antiqua" w:hAnsi="Book Antiqua" w:cstheme="minorHAnsi"/>
          <w:b/>
          <w:bCs/>
          <w:sz w:val="24"/>
          <w:szCs w:val="24"/>
        </w:rPr>
        <w:t>Chantal Stebbings</w:t>
      </w:r>
    </w:p>
    <w:p w14:paraId="6DF2E055" w14:textId="77777777" w:rsidR="004D476B" w:rsidRDefault="004D476B" w:rsidP="007F0F2D">
      <w:pPr>
        <w:spacing w:line="240" w:lineRule="auto"/>
        <w:jc w:val="center"/>
        <w:rPr>
          <w:rFonts w:ascii="Book Antiqua" w:hAnsi="Book Antiqua" w:cstheme="minorHAnsi"/>
          <w:b/>
          <w:bCs/>
          <w:smallCaps/>
          <w:sz w:val="24"/>
          <w:szCs w:val="24"/>
        </w:rPr>
      </w:pPr>
    </w:p>
    <w:p w14:paraId="15009D0E" w14:textId="24DDD9A2" w:rsidR="008B04E6" w:rsidRPr="008B04E6" w:rsidRDefault="008B04E6" w:rsidP="007F0F2D">
      <w:pPr>
        <w:spacing w:line="240" w:lineRule="auto"/>
        <w:jc w:val="center"/>
        <w:rPr>
          <w:rFonts w:ascii="Book Antiqua" w:hAnsi="Book Antiqua" w:cstheme="minorHAnsi"/>
          <w:b/>
          <w:bCs/>
          <w:smallCaps/>
          <w:sz w:val="24"/>
          <w:szCs w:val="24"/>
        </w:rPr>
      </w:pPr>
      <w:r>
        <w:rPr>
          <w:rFonts w:ascii="Book Antiqua" w:hAnsi="Book Antiqua" w:cstheme="minorHAnsi"/>
          <w:b/>
          <w:bCs/>
          <w:smallCaps/>
          <w:sz w:val="24"/>
          <w:szCs w:val="24"/>
        </w:rPr>
        <w:t>working summary</w:t>
      </w:r>
    </w:p>
    <w:p w14:paraId="7F4C90FF" w14:textId="6F8394A9" w:rsidR="00B8264A" w:rsidRDefault="007F0F2D" w:rsidP="006521B2">
      <w:pPr>
        <w:spacing w:after="0"/>
        <w:jc w:val="both"/>
        <w:rPr>
          <w:rFonts w:ascii="Book Antiqua" w:hAnsi="Book Antiqua" w:cstheme="minorHAnsi"/>
        </w:rPr>
      </w:pPr>
      <w:r>
        <w:rPr>
          <w:rFonts w:ascii="Book Antiqua" w:hAnsi="Book Antiqua" w:cstheme="minorHAnsi"/>
        </w:rPr>
        <w:t xml:space="preserve">Throughout the nineteenth, and well into the next </w:t>
      </w:r>
      <w:r w:rsidR="009C6CBC">
        <w:rPr>
          <w:rFonts w:ascii="Book Antiqua" w:hAnsi="Book Antiqua" w:cstheme="minorHAnsi"/>
        </w:rPr>
        <w:t>century</w:t>
      </w:r>
      <w:r w:rsidR="009C6CBC">
        <w:rPr>
          <w:rFonts w:ascii="Book Antiqua" w:hAnsi="Book Antiqua" w:cstheme="minorHAnsi"/>
        </w:rPr>
        <w:t xml:space="preserve">, </w:t>
      </w:r>
      <w:r>
        <w:rPr>
          <w:rFonts w:ascii="Book Antiqua" w:hAnsi="Book Antiqua" w:cstheme="minorHAnsi"/>
        </w:rPr>
        <w:t xml:space="preserve">the revenue boards based in London were </w:t>
      </w:r>
      <w:r w:rsidR="009C6CBC">
        <w:rPr>
          <w:rFonts w:ascii="Book Antiqua" w:hAnsi="Book Antiqua" w:cstheme="minorHAnsi"/>
        </w:rPr>
        <w:t xml:space="preserve">constantly </w:t>
      </w:r>
      <w:r>
        <w:rPr>
          <w:rFonts w:ascii="Book Antiqua" w:hAnsi="Book Antiqua" w:cstheme="minorHAnsi"/>
        </w:rPr>
        <w:t xml:space="preserve">striving for increased efficiency in their administration of taxes. In this necessary ambition, they were </w:t>
      </w:r>
      <w:r w:rsidR="009C6CBC">
        <w:rPr>
          <w:rFonts w:ascii="Book Antiqua" w:hAnsi="Book Antiqua" w:cstheme="minorHAnsi"/>
        </w:rPr>
        <w:t>confronted</w:t>
      </w:r>
      <w:r>
        <w:rPr>
          <w:rFonts w:ascii="Book Antiqua" w:hAnsi="Book Antiqua" w:cstheme="minorHAnsi"/>
        </w:rPr>
        <w:t xml:space="preserve"> with a raft of anachronisms which pervaded the very structure of all the taxes</w:t>
      </w:r>
      <w:r w:rsidR="00AC04F1">
        <w:rPr>
          <w:rFonts w:ascii="Book Antiqua" w:hAnsi="Book Antiqua" w:cstheme="minorHAnsi"/>
        </w:rPr>
        <w:t>. Such anomalies were</w:t>
      </w:r>
      <w:r w:rsidR="005F1B80">
        <w:rPr>
          <w:rFonts w:ascii="Book Antiqua" w:hAnsi="Book Antiqua" w:cstheme="minorHAnsi"/>
        </w:rPr>
        <w:t xml:space="preserve"> especial</w:t>
      </w:r>
      <w:r w:rsidR="00855FC7">
        <w:rPr>
          <w:rFonts w:ascii="Book Antiqua" w:hAnsi="Book Antiqua" w:cstheme="minorHAnsi"/>
        </w:rPr>
        <w:t xml:space="preserve">ly prevalent, and intractable, in the direct taxes which were administered on the basis of </w:t>
      </w:r>
      <w:r w:rsidR="006521B2">
        <w:rPr>
          <w:rFonts w:ascii="Book Antiqua" w:hAnsi="Book Antiqua" w:cstheme="minorHAnsi"/>
        </w:rPr>
        <w:t>a localist system whereby tax assessments were made and appeals heard by propertied laymen in the taxpayers’ locality</w:t>
      </w:r>
      <w:r>
        <w:rPr>
          <w:rFonts w:ascii="Book Antiqua" w:hAnsi="Book Antiqua" w:cstheme="minorHAnsi"/>
        </w:rPr>
        <w:t xml:space="preserve">. </w:t>
      </w:r>
      <w:r w:rsidR="006521B2">
        <w:rPr>
          <w:rFonts w:ascii="Book Antiqua" w:hAnsi="Book Antiqua" w:cstheme="minorHAnsi"/>
        </w:rPr>
        <w:t>As</w:t>
      </w:r>
      <w:r>
        <w:rPr>
          <w:rFonts w:ascii="Book Antiqua" w:hAnsi="Book Antiqua" w:cstheme="minorHAnsi"/>
        </w:rPr>
        <w:t xml:space="preserve"> social and economic conditions altered rapidly with the growth of commerce, industry, urbanisation</w:t>
      </w:r>
      <w:r w:rsidR="004F7F7F">
        <w:rPr>
          <w:rFonts w:ascii="Book Antiqua" w:hAnsi="Book Antiqua" w:cstheme="minorHAnsi"/>
        </w:rPr>
        <w:t>,</w:t>
      </w:r>
      <w:r>
        <w:rPr>
          <w:rFonts w:ascii="Book Antiqua" w:hAnsi="Book Antiqua" w:cstheme="minorHAnsi"/>
        </w:rPr>
        <w:t xml:space="preserve"> population</w:t>
      </w:r>
      <w:r w:rsidR="004F7F7F">
        <w:rPr>
          <w:rFonts w:ascii="Book Antiqua" w:hAnsi="Book Antiqua" w:cstheme="minorHAnsi"/>
        </w:rPr>
        <w:t xml:space="preserve"> and communications</w:t>
      </w:r>
      <w:r>
        <w:rPr>
          <w:rFonts w:ascii="Book Antiqua" w:hAnsi="Book Antiqua" w:cstheme="minorHAnsi"/>
        </w:rPr>
        <w:t xml:space="preserve">, and </w:t>
      </w:r>
      <w:r w:rsidR="00AC04F1">
        <w:rPr>
          <w:rFonts w:ascii="Book Antiqua" w:hAnsi="Book Antiqua" w:cstheme="minorHAnsi"/>
        </w:rPr>
        <w:t xml:space="preserve">as </w:t>
      </w:r>
      <w:r>
        <w:rPr>
          <w:rFonts w:ascii="Book Antiqua" w:hAnsi="Book Antiqua" w:cstheme="minorHAnsi"/>
        </w:rPr>
        <w:t xml:space="preserve">income tax became the principal impost on this new national wealth, so the anachronisms inherent in the essential mechanics of </w:t>
      </w:r>
      <w:r w:rsidR="00855FC7">
        <w:rPr>
          <w:rFonts w:ascii="Book Antiqua" w:hAnsi="Book Antiqua" w:cstheme="minorHAnsi"/>
        </w:rPr>
        <w:t xml:space="preserve">income </w:t>
      </w:r>
      <w:r>
        <w:rPr>
          <w:rFonts w:ascii="Book Antiqua" w:hAnsi="Book Antiqua" w:cstheme="minorHAnsi"/>
        </w:rPr>
        <w:t xml:space="preserve">tax assessment and collection became increasingly problematic. </w:t>
      </w:r>
      <w:r w:rsidR="008B04E6">
        <w:rPr>
          <w:rFonts w:ascii="Book Antiqua" w:hAnsi="Book Antiqua" w:cstheme="minorHAnsi"/>
        </w:rPr>
        <w:t xml:space="preserve">They undermined the efficiency of the process, inhibited the flexibility needed to adapt to new conditions and increased the work of the government revenue officials </w:t>
      </w:r>
      <w:r w:rsidR="00AC04F1">
        <w:rPr>
          <w:rFonts w:ascii="Book Antiqua" w:hAnsi="Book Antiqua" w:cstheme="minorHAnsi"/>
        </w:rPr>
        <w:t>who</w:t>
      </w:r>
      <w:r w:rsidR="008B04E6">
        <w:rPr>
          <w:rFonts w:ascii="Book Antiqua" w:hAnsi="Book Antiqua" w:cstheme="minorHAnsi"/>
        </w:rPr>
        <w:t xml:space="preserve"> sought to overcome them</w:t>
      </w:r>
      <w:r w:rsidR="009C6CBC">
        <w:rPr>
          <w:rFonts w:ascii="Book Antiqua" w:hAnsi="Book Antiqua" w:cstheme="minorHAnsi"/>
        </w:rPr>
        <w:t xml:space="preserve"> by</w:t>
      </w:r>
      <w:r w:rsidR="005F1B80">
        <w:rPr>
          <w:rFonts w:ascii="Book Antiqua" w:hAnsi="Book Antiqua" w:cstheme="minorHAnsi"/>
        </w:rPr>
        <w:t xml:space="preserve"> improvising, circumventing and always addressing the extra layer of technical details in process which these anachronisms had caused.</w:t>
      </w:r>
      <w:r w:rsidR="004F7F7F">
        <w:rPr>
          <w:rFonts w:ascii="Book Antiqua" w:hAnsi="Book Antiqua" w:cstheme="minorHAnsi"/>
        </w:rPr>
        <w:t xml:space="preserve"> </w:t>
      </w:r>
      <w:r w:rsidR="00B8264A">
        <w:rPr>
          <w:rFonts w:ascii="Book Antiqua" w:hAnsi="Book Antiqua" w:cstheme="minorHAnsi"/>
        </w:rPr>
        <w:t xml:space="preserve"> </w:t>
      </w:r>
    </w:p>
    <w:p w14:paraId="60B6F376" w14:textId="0F2D16E9" w:rsidR="007F0F2D" w:rsidRDefault="00B8264A" w:rsidP="00B8264A">
      <w:pPr>
        <w:spacing w:after="0"/>
        <w:ind w:firstLine="720"/>
        <w:jc w:val="both"/>
        <w:rPr>
          <w:rFonts w:ascii="Book Antiqua" w:hAnsi="Book Antiqua" w:cstheme="minorHAnsi"/>
        </w:rPr>
      </w:pPr>
      <w:r>
        <w:rPr>
          <w:rFonts w:ascii="Book Antiqua" w:hAnsi="Book Antiqua" w:cstheme="minorHAnsi"/>
        </w:rPr>
        <w:t>A</w:t>
      </w:r>
      <w:r w:rsidR="007F0F2D">
        <w:rPr>
          <w:rFonts w:ascii="Book Antiqua" w:hAnsi="Book Antiqua" w:cstheme="minorHAnsi"/>
        </w:rPr>
        <w:t xml:space="preserve"> fundamental issue in </w:t>
      </w:r>
      <w:r w:rsidR="006521B2">
        <w:rPr>
          <w:rFonts w:ascii="Book Antiqua" w:hAnsi="Book Antiqua" w:cstheme="minorHAnsi"/>
        </w:rPr>
        <w:t xml:space="preserve">income </w:t>
      </w:r>
      <w:r w:rsidR="007F0F2D">
        <w:rPr>
          <w:rFonts w:ascii="Book Antiqua" w:hAnsi="Book Antiqua" w:cstheme="minorHAnsi"/>
        </w:rPr>
        <w:t xml:space="preserve">tax administration was that of </w:t>
      </w:r>
      <w:r>
        <w:rPr>
          <w:rFonts w:ascii="Book Antiqua" w:hAnsi="Book Antiqua" w:cstheme="minorHAnsi"/>
        </w:rPr>
        <w:t>areas</w:t>
      </w:r>
      <w:r w:rsidR="007F0F2D">
        <w:rPr>
          <w:rFonts w:ascii="Book Antiqua" w:hAnsi="Book Antiqua" w:cstheme="minorHAnsi"/>
        </w:rPr>
        <w:t xml:space="preserve">, namely of </w:t>
      </w:r>
      <w:r w:rsidR="009C6CBC">
        <w:rPr>
          <w:rFonts w:ascii="Book Antiqua" w:hAnsi="Book Antiqua" w:cstheme="minorHAnsi"/>
        </w:rPr>
        <w:t>that to be</w:t>
      </w:r>
      <w:r w:rsidR="007F0F2D">
        <w:rPr>
          <w:rFonts w:ascii="Book Antiqua" w:hAnsi="Book Antiqua" w:cstheme="minorHAnsi"/>
        </w:rPr>
        <w:t xml:space="preserve"> adopted as the unit of area</w:t>
      </w:r>
      <w:r>
        <w:rPr>
          <w:rFonts w:ascii="Book Antiqua" w:hAnsi="Book Antiqua" w:cstheme="minorHAnsi"/>
        </w:rPr>
        <w:t xml:space="preserve"> for the implementation of the tax</w:t>
      </w:r>
      <w:r w:rsidR="007F0F2D">
        <w:rPr>
          <w:rFonts w:ascii="Book Antiqua" w:hAnsi="Book Antiqua" w:cstheme="minorHAnsi"/>
        </w:rPr>
        <w:t xml:space="preserve">. </w:t>
      </w:r>
      <w:r w:rsidR="009C6CBC">
        <w:rPr>
          <w:rFonts w:ascii="Book Antiqua" w:hAnsi="Book Antiqua" w:cstheme="minorHAnsi"/>
        </w:rPr>
        <w:t>This</w:t>
      </w:r>
      <w:r w:rsidR="006521B2">
        <w:rPr>
          <w:rFonts w:ascii="Book Antiqua" w:hAnsi="Book Antiqua" w:cstheme="minorHAnsi"/>
        </w:rPr>
        <w:t xml:space="preserve"> directly affected</w:t>
      </w:r>
      <w:r w:rsidR="007F0F2D">
        <w:rPr>
          <w:rFonts w:ascii="Book Antiqua" w:hAnsi="Book Antiqua" w:cstheme="minorHAnsi"/>
        </w:rPr>
        <w:t xml:space="preserve"> a range of </w:t>
      </w:r>
      <w:r w:rsidR="006521B2">
        <w:rPr>
          <w:rFonts w:ascii="Book Antiqua" w:hAnsi="Book Antiqua" w:cstheme="minorHAnsi"/>
        </w:rPr>
        <w:t>key matters</w:t>
      </w:r>
      <w:r w:rsidR="007F0F2D">
        <w:rPr>
          <w:rFonts w:ascii="Book Antiqua" w:hAnsi="Book Antiqua" w:cstheme="minorHAnsi"/>
        </w:rPr>
        <w:t xml:space="preserve">, </w:t>
      </w:r>
      <w:r w:rsidR="00AC04F1">
        <w:rPr>
          <w:rFonts w:ascii="Book Antiqua" w:hAnsi="Book Antiqua" w:cstheme="minorHAnsi"/>
        </w:rPr>
        <w:t>specifically</w:t>
      </w:r>
      <w:r w:rsidR="007F0F2D">
        <w:rPr>
          <w:rFonts w:ascii="Book Antiqua" w:hAnsi="Book Antiqua" w:cstheme="minorHAnsi"/>
        </w:rPr>
        <w:t xml:space="preserve"> jurisdiction, the appointment, qualification and local knowledge of tax personnel, the access of taxpayers</w:t>
      </w:r>
      <w:r w:rsidR="006521B2">
        <w:rPr>
          <w:rFonts w:ascii="Book Antiqua" w:hAnsi="Book Antiqua" w:cstheme="minorHAnsi"/>
        </w:rPr>
        <w:t xml:space="preserve"> </w:t>
      </w:r>
      <w:r w:rsidR="00E27D4A">
        <w:rPr>
          <w:rFonts w:ascii="Book Antiqua" w:hAnsi="Book Antiqua" w:cstheme="minorHAnsi"/>
        </w:rPr>
        <w:t xml:space="preserve">to the administrative process </w:t>
      </w:r>
      <w:r w:rsidR="006521B2">
        <w:rPr>
          <w:rFonts w:ascii="Book Antiqua" w:hAnsi="Book Antiqua" w:cstheme="minorHAnsi"/>
        </w:rPr>
        <w:t>and</w:t>
      </w:r>
      <w:r w:rsidR="007F0F2D">
        <w:rPr>
          <w:rFonts w:ascii="Book Antiqua" w:hAnsi="Book Antiqua" w:cstheme="minorHAnsi"/>
        </w:rPr>
        <w:t xml:space="preserve"> </w:t>
      </w:r>
      <w:r w:rsidR="00E27D4A">
        <w:rPr>
          <w:rFonts w:ascii="Book Antiqua" w:hAnsi="Book Antiqua" w:cstheme="minorHAnsi"/>
        </w:rPr>
        <w:t>its</w:t>
      </w:r>
      <w:r w:rsidR="007F0F2D">
        <w:rPr>
          <w:rFonts w:ascii="Book Antiqua" w:hAnsi="Book Antiqua" w:cstheme="minorHAnsi"/>
        </w:rPr>
        <w:t xml:space="preserve"> </w:t>
      </w:r>
      <w:r w:rsidR="006521B2">
        <w:rPr>
          <w:rFonts w:ascii="Book Antiqua" w:hAnsi="Book Antiqua" w:cstheme="minorHAnsi"/>
        </w:rPr>
        <w:t xml:space="preserve">overall </w:t>
      </w:r>
      <w:r w:rsidR="007F0F2D">
        <w:rPr>
          <w:rFonts w:ascii="Book Antiqua" w:hAnsi="Book Antiqua" w:cstheme="minorHAnsi"/>
        </w:rPr>
        <w:t>efficiency</w:t>
      </w:r>
      <w:r w:rsidR="00E27D4A">
        <w:rPr>
          <w:rFonts w:ascii="Book Antiqua" w:hAnsi="Book Antiqua" w:cstheme="minorHAnsi"/>
        </w:rPr>
        <w:t>. And yet t</w:t>
      </w:r>
      <w:r w:rsidR="006521B2">
        <w:rPr>
          <w:rFonts w:ascii="Book Antiqua" w:hAnsi="Book Antiqua" w:cstheme="minorHAnsi"/>
        </w:rPr>
        <w:t>he</w:t>
      </w:r>
      <w:r w:rsidR="007F0F2D">
        <w:rPr>
          <w:rFonts w:ascii="Book Antiqua" w:hAnsi="Book Antiqua" w:cstheme="minorHAnsi"/>
        </w:rPr>
        <w:t xml:space="preserve"> issue of tax </w:t>
      </w:r>
      <w:r>
        <w:rPr>
          <w:rFonts w:ascii="Book Antiqua" w:hAnsi="Book Antiqua" w:cstheme="minorHAnsi"/>
        </w:rPr>
        <w:t>areas</w:t>
      </w:r>
      <w:r w:rsidR="007F0F2D">
        <w:rPr>
          <w:rFonts w:ascii="Book Antiqua" w:hAnsi="Book Antiqua" w:cstheme="minorHAnsi"/>
        </w:rPr>
        <w:t xml:space="preserve"> was one of the most anachronistic in the entire system, to the point that it was described in 1919 as ‘an historical joke’.</w:t>
      </w:r>
      <w:r w:rsidR="007F0F2D" w:rsidRPr="0047595C">
        <w:rPr>
          <w:rStyle w:val="FootnoteReference"/>
          <w:rFonts w:ascii="Book Antiqua" w:hAnsi="Book Antiqua"/>
        </w:rPr>
        <w:t xml:space="preserve"> </w:t>
      </w:r>
    </w:p>
    <w:p w14:paraId="61EE43BF" w14:textId="327461F1" w:rsidR="0011658E" w:rsidRDefault="000961F8" w:rsidP="0011658E">
      <w:pPr>
        <w:spacing w:after="0"/>
        <w:jc w:val="both"/>
        <w:rPr>
          <w:rFonts w:ascii="Book Antiqua" w:hAnsi="Book Antiqua" w:cstheme="minorHAnsi"/>
        </w:rPr>
      </w:pPr>
      <w:r>
        <w:rPr>
          <w:rFonts w:ascii="Book Antiqua" w:hAnsi="Book Antiqua" w:cstheme="minorHAnsi"/>
        </w:rPr>
        <w:tab/>
      </w:r>
      <w:r w:rsidR="007F0F2D" w:rsidRPr="009A386F">
        <w:rPr>
          <w:rFonts w:ascii="Book Antiqua" w:hAnsi="Book Antiqua" w:cstheme="minorHAnsi"/>
        </w:rPr>
        <w:t xml:space="preserve">From the late Medieval period, one territorial division above any other was used as the basis of key governmental functions, </w:t>
      </w:r>
      <w:r w:rsidR="007F0F2D">
        <w:rPr>
          <w:rFonts w:ascii="Book Antiqua" w:hAnsi="Book Antiqua" w:cstheme="minorHAnsi"/>
        </w:rPr>
        <w:t>namely</w:t>
      </w:r>
      <w:r w:rsidR="007F0F2D" w:rsidRPr="009A386F">
        <w:rPr>
          <w:rFonts w:ascii="Book Antiqua" w:hAnsi="Book Antiqua" w:cstheme="minorHAnsi"/>
        </w:rPr>
        <w:t xml:space="preserve"> the </w:t>
      </w:r>
      <w:r w:rsidR="007F0F2D" w:rsidRPr="002E67D8">
        <w:rPr>
          <w:rFonts w:ascii="Book Antiqua" w:hAnsi="Book Antiqua" w:cstheme="minorHAnsi"/>
        </w:rPr>
        <w:t>county.</w:t>
      </w:r>
      <w:r w:rsidR="007F0F2D" w:rsidRPr="009A386F">
        <w:rPr>
          <w:rFonts w:ascii="Book Antiqua" w:hAnsi="Book Antiqua" w:cstheme="minorHAnsi"/>
        </w:rPr>
        <w:t xml:space="preserve"> The historic counties of England</w:t>
      </w:r>
      <w:r>
        <w:rPr>
          <w:rFonts w:ascii="Book Antiqua" w:hAnsi="Book Antiqua" w:cstheme="minorHAnsi"/>
        </w:rPr>
        <w:t xml:space="preserve"> and Wales </w:t>
      </w:r>
      <w:r w:rsidR="002E67D8">
        <w:rPr>
          <w:rFonts w:ascii="Book Antiqua" w:hAnsi="Book Antiqua" w:cstheme="minorHAnsi"/>
        </w:rPr>
        <w:t xml:space="preserve">were </w:t>
      </w:r>
      <w:r w:rsidR="003E1417">
        <w:rPr>
          <w:rFonts w:ascii="Book Antiqua" w:hAnsi="Book Antiqua" w:cstheme="minorHAnsi"/>
        </w:rPr>
        <w:t xml:space="preserve">ancient, </w:t>
      </w:r>
      <w:r w:rsidR="002E67D8">
        <w:rPr>
          <w:rFonts w:ascii="Book Antiqua" w:hAnsi="Book Antiqua" w:cstheme="minorHAnsi"/>
        </w:rPr>
        <w:t>settled and well known</w:t>
      </w:r>
      <w:bookmarkStart w:id="0" w:name="_Hlk92878053"/>
      <w:r w:rsidR="002E67D8">
        <w:rPr>
          <w:rFonts w:ascii="Book Antiqua" w:hAnsi="Book Antiqua" w:cstheme="minorHAnsi"/>
        </w:rPr>
        <w:t xml:space="preserve">. Counties were generally subdivided into </w:t>
      </w:r>
      <w:bookmarkStart w:id="1" w:name="_Hlk102983357"/>
      <w:r w:rsidR="007F0F2D">
        <w:rPr>
          <w:rFonts w:ascii="Book Antiqua" w:hAnsi="Book Antiqua" w:cstheme="minorHAnsi"/>
        </w:rPr>
        <w:t>smaller hundreds</w:t>
      </w:r>
      <w:r w:rsidR="002E67D8">
        <w:rPr>
          <w:rFonts w:ascii="Book Antiqua" w:hAnsi="Book Antiqua" w:cstheme="minorHAnsi"/>
        </w:rPr>
        <w:t xml:space="preserve">, </w:t>
      </w:r>
      <w:r w:rsidR="003E1417">
        <w:rPr>
          <w:rFonts w:ascii="Book Antiqua" w:hAnsi="Book Antiqua" w:cstheme="minorHAnsi"/>
        </w:rPr>
        <w:t>and</w:t>
      </w:r>
      <w:r w:rsidR="002E67D8">
        <w:rPr>
          <w:rFonts w:ascii="Book Antiqua" w:hAnsi="Book Antiqua" w:cstheme="minorHAnsi"/>
        </w:rPr>
        <w:t xml:space="preserve"> </w:t>
      </w:r>
      <w:r w:rsidR="003E1417">
        <w:rPr>
          <w:rFonts w:ascii="Book Antiqua" w:hAnsi="Book Antiqua" w:cstheme="minorHAnsi"/>
        </w:rPr>
        <w:t>h</w:t>
      </w:r>
      <w:r w:rsidR="002E67D8">
        <w:rPr>
          <w:rFonts w:ascii="Book Antiqua" w:hAnsi="Book Antiqua" w:cstheme="minorHAnsi"/>
        </w:rPr>
        <w:t>undreds comprised a number of parishes</w:t>
      </w:r>
      <w:r w:rsidR="0011658E">
        <w:rPr>
          <w:rFonts w:ascii="Book Antiqua" w:hAnsi="Book Antiqua" w:cstheme="minorHAnsi"/>
        </w:rPr>
        <w:t xml:space="preserve">. </w:t>
      </w:r>
      <w:bookmarkEnd w:id="1"/>
      <w:bookmarkEnd w:id="0"/>
      <w:r w:rsidR="0011658E">
        <w:rPr>
          <w:rFonts w:ascii="Book Antiqua" w:hAnsi="Book Antiqua" w:cstheme="minorHAnsi"/>
        </w:rPr>
        <w:t xml:space="preserve">The county was adopted as the territorial basis for the </w:t>
      </w:r>
      <w:r w:rsidR="007F0F2D">
        <w:rPr>
          <w:rFonts w:ascii="Book Antiqua" w:hAnsi="Book Antiqua" w:cstheme="minorHAnsi"/>
        </w:rPr>
        <w:t>administration of justice, defence, parliamentary representation</w:t>
      </w:r>
      <w:r w:rsidR="0011658E">
        <w:rPr>
          <w:rFonts w:ascii="Book Antiqua" w:hAnsi="Book Antiqua" w:cstheme="minorHAnsi"/>
        </w:rPr>
        <w:t xml:space="preserve">, local government matters and, unsurprisingly, the direct taxes. </w:t>
      </w:r>
    </w:p>
    <w:p w14:paraId="1C88F3FD" w14:textId="33A61347" w:rsidR="00041845" w:rsidRDefault="0011658E" w:rsidP="00386945">
      <w:pPr>
        <w:spacing w:after="0" w:line="240" w:lineRule="auto"/>
        <w:ind w:firstLine="720"/>
        <w:jc w:val="both"/>
        <w:rPr>
          <w:rFonts w:ascii="Book Antiqua" w:hAnsi="Book Antiqua" w:cstheme="minorHAnsi"/>
        </w:rPr>
      </w:pPr>
      <w:r>
        <w:rPr>
          <w:rFonts w:ascii="Book Antiqua" w:hAnsi="Book Antiqua"/>
        </w:rPr>
        <w:t xml:space="preserve">The machinery of income tax </w:t>
      </w:r>
      <w:r w:rsidR="007219B3">
        <w:rPr>
          <w:rFonts w:ascii="Book Antiqua" w:hAnsi="Book Antiqua"/>
        </w:rPr>
        <w:t xml:space="preserve">administration </w:t>
      </w:r>
      <w:r>
        <w:rPr>
          <w:rFonts w:ascii="Book Antiqua" w:hAnsi="Book Antiqua"/>
        </w:rPr>
        <w:t xml:space="preserve">traced its origins to the early English direct taxes, </w:t>
      </w:r>
      <w:r w:rsidR="007845E8">
        <w:rPr>
          <w:rFonts w:ascii="Book Antiqua" w:hAnsi="Book Antiqua"/>
        </w:rPr>
        <w:t>the s</w:t>
      </w:r>
      <w:r>
        <w:rPr>
          <w:rFonts w:ascii="Book Antiqua" w:hAnsi="Book Antiqua"/>
        </w:rPr>
        <w:t>ubsidies,</w:t>
      </w:r>
      <w:r w:rsidRPr="008F1C04">
        <w:rPr>
          <w:rFonts w:ascii="Book Antiqua" w:hAnsi="Book Antiqua"/>
        </w:rPr>
        <w:t xml:space="preserve"> </w:t>
      </w:r>
      <w:r w:rsidR="007845E8">
        <w:rPr>
          <w:rFonts w:ascii="Book Antiqua" w:hAnsi="Book Antiqua"/>
        </w:rPr>
        <w:t>the m</w:t>
      </w:r>
      <w:r>
        <w:rPr>
          <w:rFonts w:ascii="Book Antiqua" w:hAnsi="Book Antiqua"/>
        </w:rPr>
        <w:t xml:space="preserve">onthly </w:t>
      </w:r>
      <w:r w:rsidR="007845E8">
        <w:rPr>
          <w:rFonts w:ascii="Book Antiqua" w:hAnsi="Book Antiqua"/>
        </w:rPr>
        <w:t>a</w:t>
      </w:r>
      <w:r>
        <w:rPr>
          <w:rFonts w:ascii="Book Antiqua" w:hAnsi="Book Antiqua"/>
        </w:rPr>
        <w:t xml:space="preserve">ssessments, and, most recognizably, the </w:t>
      </w:r>
      <w:r w:rsidR="007845E8">
        <w:rPr>
          <w:rFonts w:ascii="Book Antiqua" w:hAnsi="Book Antiqua"/>
        </w:rPr>
        <w:t>l</w:t>
      </w:r>
      <w:r>
        <w:rPr>
          <w:rFonts w:ascii="Book Antiqua" w:hAnsi="Book Antiqua"/>
        </w:rPr>
        <w:t xml:space="preserve">and </w:t>
      </w:r>
      <w:r w:rsidR="007845E8">
        <w:rPr>
          <w:rFonts w:ascii="Book Antiqua" w:hAnsi="Book Antiqua"/>
        </w:rPr>
        <w:t>t</w:t>
      </w:r>
      <w:r>
        <w:rPr>
          <w:rFonts w:ascii="Book Antiqua" w:hAnsi="Book Antiqua"/>
        </w:rPr>
        <w:t xml:space="preserve">ax and the </w:t>
      </w:r>
      <w:r w:rsidR="007845E8">
        <w:rPr>
          <w:rFonts w:ascii="Book Antiqua" w:hAnsi="Book Antiqua"/>
        </w:rPr>
        <w:t>a</w:t>
      </w:r>
      <w:r>
        <w:rPr>
          <w:rFonts w:ascii="Book Antiqua" w:hAnsi="Book Antiqua"/>
        </w:rPr>
        <w:t xml:space="preserve">ssessed </w:t>
      </w:r>
      <w:r w:rsidR="007845E8">
        <w:rPr>
          <w:rFonts w:ascii="Book Antiqua" w:hAnsi="Book Antiqua"/>
        </w:rPr>
        <w:t>t</w:t>
      </w:r>
      <w:r>
        <w:rPr>
          <w:rFonts w:ascii="Book Antiqua" w:hAnsi="Book Antiqua"/>
        </w:rPr>
        <w:t xml:space="preserve">axes. </w:t>
      </w:r>
      <w:r>
        <w:rPr>
          <w:rFonts w:ascii="Book Antiqua" w:hAnsi="Book Antiqua" w:cstheme="minorHAnsi"/>
        </w:rPr>
        <w:t>All these taxes adopted the same territorial structure for their administration, a system which hardly changed over four hundred years.</w:t>
      </w:r>
      <w:r>
        <w:rPr>
          <w:rFonts w:ascii="Book Antiqua" w:hAnsi="Book Antiqua"/>
        </w:rPr>
        <w:t xml:space="preserve"> </w:t>
      </w:r>
      <w:r>
        <w:rPr>
          <w:rFonts w:ascii="Book Antiqua" w:hAnsi="Book Antiqua" w:cstheme="minorHAnsi"/>
        </w:rPr>
        <w:t xml:space="preserve"> In line with the fundamental tax territorial unit, up to and including the land tax, </w:t>
      </w:r>
      <w:r w:rsidR="004B2F9C">
        <w:rPr>
          <w:rFonts w:ascii="Book Antiqua" w:hAnsi="Book Antiqua" w:cstheme="minorHAnsi"/>
        </w:rPr>
        <w:t>lay</w:t>
      </w:r>
      <w:r>
        <w:rPr>
          <w:rFonts w:ascii="Book Antiqua" w:hAnsi="Book Antiqua" w:cstheme="minorHAnsi"/>
        </w:rPr>
        <w:t xml:space="preserve"> </w:t>
      </w:r>
      <w:r w:rsidR="007845E8">
        <w:rPr>
          <w:rFonts w:ascii="Book Antiqua" w:hAnsi="Book Antiqua" w:cstheme="minorHAnsi"/>
        </w:rPr>
        <w:t>c</w:t>
      </w:r>
      <w:r>
        <w:rPr>
          <w:rFonts w:ascii="Book Antiqua" w:hAnsi="Book Antiqua" w:cstheme="minorHAnsi"/>
        </w:rPr>
        <w:t xml:space="preserve">ommissioners were appointed for each county, the numbers being commensurate with its size and population. </w:t>
      </w:r>
      <w:r w:rsidR="004B2F9C">
        <w:rPr>
          <w:rFonts w:ascii="Book Antiqua" w:hAnsi="Book Antiqua" w:cstheme="minorHAnsi"/>
        </w:rPr>
        <w:t xml:space="preserve">The commissioners were then to divide themselves up into </w:t>
      </w:r>
      <w:r w:rsidR="00386945">
        <w:rPr>
          <w:rFonts w:ascii="Book Antiqua" w:hAnsi="Book Antiqua" w:cstheme="minorHAnsi"/>
        </w:rPr>
        <w:t xml:space="preserve">the </w:t>
      </w:r>
      <w:r w:rsidR="004B2F9C">
        <w:rPr>
          <w:rFonts w:ascii="Book Antiqua" w:hAnsi="Book Antiqua" w:cstheme="minorHAnsi"/>
        </w:rPr>
        <w:t xml:space="preserve">smaller divisions of </w:t>
      </w:r>
      <w:r w:rsidR="007845E8">
        <w:rPr>
          <w:rFonts w:ascii="Book Antiqua" w:hAnsi="Book Antiqua" w:cstheme="minorHAnsi"/>
        </w:rPr>
        <w:t xml:space="preserve">the </w:t>
      </w:r>
      <w:r w:rsidR="004B2F9C">
        <w:rPr>
          <w:rFonts w:ascii="Book Antiqua" w:hAnsi="Book Antiqua" w:cstheme="minorHAnsi"/>
        </w:rPr>
        <w:t>hundreds</w:t>
      </w:r>
      <w:r w:rsidR="007845E8">
        <w:rPr>
          <w:rFonts w:ascii="Book Antiqua" w:hAnsi="Book Antiqua" w:cstheme="minorHAnsi"/>
        </w:rPr>
        <w:t xml:space="preserve"> </w:t>
      </w:r>
      <w:r w:rsidR="004B2F9C">
        <w:rPr>
          <w:rFonts w:ascii="Book Antiqua" w:hAnsi="Book Antiqua" w:cstheme="minorHAnsi"/>
        </w:rPr>
        <w:t>to begin the work of implementing the taxing legislation.</w:t>
      </w:r>
    </w:p>
    <w:p w14:paraId="427F1671" w14:textId="6A010AEC" w:rsidR="000958A6" w:rsidRDefault="007F0F2D" w:rsidP="000219B5">
      <w:pPr>
        <w:spacing w:after="0"/>
        <w:jc w:val="both"/>
        <w:rPr>
          <w:rFonts w:ascii="Book Antiqua" w:hAnsi="Book Antiqua"/>
        </w:rPr>
      </w:pPr>
      <w:r>
        <w:rPr>
          <w:rFonts w:ascii="Book Antiqua" w:hAnsi="Book Antiqua"/>
        </w:rPr>
        <w:tab/>
      </w:r>
      <w:r w:rsidR="003159B5">
        <w:rPr>
          <w:rFonts w:ascii="Book Antiqua" w:hAnsi="Book Antiqua"/>
        </w:rPr>
        <w:t xml:space="preserve">It was specifically the land tax organisation which was adopted for the income tax in 1799. </w:t>
      </w:r>
      <w:r w:rsidR="004207D7">
        <w:rPr>
          <w:rFonts w:ascii="Book Antiqua" w:hAnsi="Book Antiqua"/>
        </w:rPr>
        <w:t xml:space="preserve">The land tax legislation </w:t>
      </w:r>
      <w:r w:rsidR="003159B5">
        <w:rPr>
          <w:rFonts w:ascii="Book Antiqua" w:hAnsi="Book Antiqua"/>
        </w:rPr>
        <w:t xml:space="preserve">of 1692 </w:t>
      </w:r>
      <w:r w:rsidR="004207D7">
        <w:rPr>
          <w:rFonts w:ascii="Book Antiqua" w:hAnsi="Book Antiqua"/>
        </w:rPr>
        <w:t xml:space="preserve">imposed a separate fixed quota to be raised on each county in England and Wales, with the hundreds </w:t>
      </w:r>
      <w:r w:rsidR="00FB4062">
        <w:rPr>
          <w:rFonts w:ascii="Book Antiqua" w:hAnsi="Book Antiqua"/>
        </w:rPr>
        <w:t>and parishes</w:t>
      </w:r>
      <w:r w:rsidR="004207D7">
        <w:rPr>
          <w:rFonts w:ascii="Book Antiqua" w:hAnsi="Book Antiqua"/>
        </w:rPr>
        <w:t xml:space="preserve"> contributing to the county quota in fixed proportions.</w:t>
      </w:r>
      <w:r w:rsidR="004207D7">
        <w:rPr>
          <w:rStyle w:val="FootnoteReference"/>
          <w:rFonts w:ascii="Book Antiqua" w:hAnsi="Book Antiqua"/>
        </w:rPr>
        <w:t xml:space="preserve"> </w:t>
      </w:r>
      <w:r w:rsidR="004207D7">
        <w:rPr>
          <w:rFonts w:ascii="Book Antiqua" w:hAnsi="Book Antiqua"/>
        </w:rPr>
        <w:t xml:space="preserve">The Act appointed named </w:t>
      </w:r>
      <w:r w:rsidR="00FB4062">
        <w:rPr>
          <w:rFonts w:ascii="Book Antiqua" w:hAnsi="Book Antiqua"/>
        </w:rPr>
        <w:t>c</w:t>
      </w:r>
      <w:r w:rsidR="004207D7">
        <w:rPr>
          <w:rFonts w:ascii="Book Antiqua" w:hAnsi="Book Antiqua"/>
        </w:rPr>
        <w:t xml:space="preserve">ommissioners for some 50 counties, 19 cities, 30 towns, 15 boroughs, and a number of other extraordinary places. </w:t>
      </w:r>
      <w:r w:rsidR="00C571D6">
        <w:rPr>
          <w:rFonts w:ascii="Book Antiqua" w:hAnsi="Book Antiqua"/>
        </w:rPr>
        <w:t>Th</w:t>
      </w:r>
      <w:r w:rsidR="00CE585F">
        <w:rPr>
          <w:rFonts w:ascii="Book Antiqua" w:hAnsi="Book Antiqua"/>
        </w:rPr>
        <w:t>is framework</w:t>
      </w:r>
      <w:r w:rsidR="00C571D6">
        <w:rPr>
          <w:rFonts w:ascii="Book Antiqua" w:hAnsi="Book Antiqua"/>
        </w:rPr>
        <w:t xml:space="preserve">, based on ancient territorial divisions of county, was retained in all the subsequent statutory </w:t>
      </w:r>
      <w:r w:rsidR="00C571D6">
        <w:rPr>
          <w:rFonts w:ascii="Book Antiqua" w:hAnsi="Book Antiqua"/>
        </w:rPr>
        <w:lastRenderedPageBreak/>
        <w:t xml:space="preserve">iterations of the income tax. </w:t>
      </w:r>
      <w:r w:rsidR="00CE585F">
        <w:rPr>
          <w:rFonts w:ascii="Book Antiqua" w:hAnsi="Book Antiqua"/>
        </w:rPr>
        <w:t>The only modification for the income tax was</w:t>
      </w:r>
      <w:r>
        <w:rPr>
          <w:rFonts w:ascii="Book Antiqua" w:hAnsi="Book Antiqua"/>
        </w:rPr>
        <w:t xml:space="preserve"> that the </w:t>
      </w:r>
      <w:r w:rsidR="00FB4062">
        <w:rPr>
          <w:rFonts w:ascii="Book Antiqua" w:hAnsi="Book Antiqua"/>
        </w:rPr>
        <w:t>c</w:t>
      </w:r>
      <w:r>
        <w:rPr>
          <w:rFonts w:ascii="Book Antiqua" w:hAnsi="Book Antiqua"/>
        </w:rPr>
        <w:t xml:space="preserve">ommissioners responsible for implementing the legislation, known as the General Commissioners, were appointed </w:t>
      </w:r>
      <w:r w:rsidR="00CE585F">
        <w:rPr>
          <w:rFonts w:ascii="Book Antiqua" w:hAnsi="Book Antiqua"/>
        </w:rPr>
        <w:t xml:space="preserve">not to the county, but </w:t>
      </w:r>
      <w:r>
        <w:rPr>
          <w:rFonts w:ascii="Book Antiqua" w:hAnsi="Book Antiqua"/>
        </w:rPr>
        <w:t>to a division of the county</w:t>
      </w:r>
      <w:r w:rsidR="00AC04F1">
        <w:rPr>
          <w:rFonts w:ascii="Book Antiqua" w:hAnsi="Book Antiqua"/>
        </w:rPr>
        <w:t xml:space="preserve"> -</w:t>
      </w:r>
      <w:r w:rsidR="000958A6">
        <w:rPr>
          <w:rFonts w:ascii="Book Antiqua" w:hAnsi="Book Antiqua"/>
        </w:rPr>
        <w:t xml:space="preserve"> the ancient hundreds</w:t>
      </w:r>
      <w:r w:rsidR="00FB4062">
        <w:rPr>
          <w:rFonts w:ascii="Book Antiqua" w:hAnsi="Book Antiqua"/>
        </w:rPr>
        <w:t xml:space="preserve"> </w:t>
      </w:r>
      <w:r w:rsidR="000958A6">
        <w:rPr>
          <w:rFonts w:ascii="Book Antiqua" w:hAnsi="Book Antiqua"/>
        </w:rPr>
        <w:t>and other established divisions.</w:t>
      </w:r>
      <w:r w:rsidR="000219B5">
        <w:rPr>
          <w:rFonts w:ascii="Book Antiqua" w:hAnsi="Book Antiqua"/>
        </w:rPr>
        <w:t xml:space="preserve"> </w:t>
      </w:r>
      <w:r w:rsidR="000958A6">
        <w:rPr>
          <w:rFonts w:ascii="Book Antiqua" w:hAnsi="Book Antiqua"/>
        </w:rPr>
        <w:t xml:space="preserve">The areas to which the General Commissioners were appointed determined a number of issues: </w:t>
      </w:r>
      <w:r w:rsidR="008818DF">
        <w:rPr>
          <w:rFonts w:ascii="Book Antiqua" w:hAnsi="Book Antiqua"/>
        </w:rPr>
        <w:t xml:space="preserve">many matters of </w:t>
      </w:r>
      <w:r w:rsidR="000958A6">
        <w:rPr>
          <w:rFonts w:ascii="Book Antiqua" w:hAnsi="Book Antiqua"/>
        </w:rPr>
        <w:t xml:space="preserve">practical </w:t>
      </w:r>
      <w:r w:rsidR="008818DF">
        <w:rPr>
          <w:rFonts w:ascii="Book Antiqua" w:hAnsi="Book Antiqua"/>
        </w:rPr>
        <w:t xml:space="preserve">importance, but crucially the </w:t>
      </w:r>
      <w:r w:rsidR="000958A6">
        <w:rPr>
          <w:rFonts w:ascii="Book Antiqua" w:hAnsi="Book Antiqua"/>
        </w:rPr>
        <w:t>limits of their jurisdiction. General Commissioners could act only for their division and were strictly constrained to those limits.</w:t>
      </w:r>
      <w:r w:rsidR="00BC1680">
        <w:rPr>
          <w:rFonts w:ascii="Book Antiqua" w:hAnsi="Book Antiqua"/>
        </w:rPr>
        <w:t xml:space="preserve"> </w:t>
      </w:r>
    </w:p>
    <w:p w14:paraId="39300922" w14:textId="76E91208" w:rsidR="005B77B4" w:rsidRDefault="00BC1680" w:rsidP="007F0F2D">
      <w:pPr>
        <w:spacing w:after="0"/>
        <w:ind w:firstLine="720"/>
        <w:jc w:val="both"/>
        <w:rPr>
          <w:rFonts w:ascii="Book Antiqua" w:hAnsi="Book Antiqua"/>
        </w:rPr>
      </w:pPr>
      <w:r>
        <w:rPr>
          <w:rFonts w:ascii="Book Antiqua" w:hAnsi="Book Antiqua"/>
        </w:rPr>
        <w:t>This model, however, locked the income tax into an inflexible boundary framework.</w:t>
      </w:r>
      <w:r w:rsidRPr="00BC1680">
        <w:rPr>
          <w:rFonts w:ascii="Book Antiqua" w:hAnsi="Book Antiqua" w:cstheme="minorHAnsi"/>
        </w:rPr>
        <w:t xml:space="preserve"> </w:t>
      </w:r>
      <w:r w:rsidR="00FB13A0">
        <w:rPr>
          <w:rFonts w:ascii="Book Antiqua" w:hAnsi="Book Antiqua" w:cstheme="minorHAnsi"/>
        </w:rPr>
        <w:t xml:space="preserve">It </w:t>
      </w:r>
      <w:r>
        <w:rPr>
          <w:rFonts w:ascii="Book Antiqua" w:hAnsi="Book Antiqua" w:cstheme="minorHAnsi"/>
        </w:rPr>
        <w:t xml:space="preserve">ensured that convenience and efficiency in tax administration were compromised. </w:t>
      </w:r>
      <w:r w:rsidR="00297019">
        <w:rPr>
          <w:rFonts w:ascii="Book Antiqua" w:hAnsi="Book Antiqua" w:cstheme="minorHAnsi"/>
        </w:rPr>
        <w:t>The</w:t>
      </w:r>
      <w:r>
        <w:rPr>
          <w:rFonts w:ascii="Book Antiqua" w:hAnsi="Book Antiqua" w:cstheme="minorHAnsi"/>
        </w:rPr>
        <w:t xml:space="preserve"> system could not accommodate those </w:t>
      </w:r>
      <w:r>
        <w:rPr>
          <w:rFonts w:ascii="Book Antiqua" w:hAnsi="Book Antiqua"/>
        </w:rPr>
        <w:t>historically anomalous places which had either been allowed to remain or been given special treatment under the territorial arrangements of the land tax. These included extra-parochial places, detached parishes, and places of exclusive jurisdiction.</w:t>
      </w:r>
      <w:r w:rsidR="0063652E">
        <w:rPr>
          <w:rFonts w:ascii="Book Antiqua" w:hAnsi="Book Antiqua"/>
        </w:rPr>
        <w:t xml:space="preserve"> All caused practical difficulties for everyone involved in the tax process</w:t>
      </w:r>
      <w:r w:rsidR="00297019">
        <w:rPr>
          <w:rFonts w:ascii="Book Antiqua" w:hAnsi="Book Antiqua"/>
        </w:rPr>
        <w:t xml:space="preserve">, and were addressed </w:t>
      </w:r>
      <w:r w:rsidR="0063652E">
        <w:rPr>
          <w:rFonts w:ascii="Book Antiqua" w:hAnsi="Book Antiqua"/>
        </w:rPr>
        <w:t>for the most part in the parent legislation</w:t>
      </w:r>
      <w:r w:rsidR="00D6714A">
        <w:rPr>
          <w:rFonts w:ascii="Book Antiqua" w:hAnsi="Book Antiqua"/>
        </w:rPr>
        <w:t>, though sometimes</w:t>
      </w:r>
      <w:r w:rsidR="005B77B4">
        <w:rPr>
          <w:rFonts w:ascii="Book Antiqua" w:hAnsi="Book Antiqua"/>
        </w:rPr>
        <w:t xml:space="preserve"> special legislation was </w:t>
      </w:r>
      <w:r w:rsidR="00D6714A">
        <w:rPr>
          <w:rFonts w:ascii="Book Antiqua" w:hAnsi="Book Antiqua"/>
        </w:rPr>
        <w:t xml:space="preserve">required. </w:t>
      </w:r>
      <w:r w:rsidR="0063652E">
        <w:rPr>
          <w:rFonts w:ascii="Book Antiqua" w:hAnsi="Book Antiqua"/>
        </w:rPr>
        <w:t xml:space="preserve">Other practical </w:t>
      </w:r>
      <w:r w:rsidR="003159B5">
        <w:rPr>
          <w:rFonts w:ascii="Book Antiqua" w:hAnsi="Book Antiqua"/>
        </w:rPr>
        <w:t>issues</w:t>
      </w:r>
      <w:r w:rsidR="0063652E">
        <w:rPr>
          <w:rFonts w:ascii="Book Antiqua" w:hAnsi="Book Antiqua"/>
        </w:rPr>
        <w:t xml:space="preserve"> arose from the inflexibility of the territorial arrangements, </w:t>
      </w:r>
      <w:r w:rsidR="0077058E">
        <w:rPr>
          <w:rFonts w:ascii="Book Antiqua" w:hAnsi="Book Antiqua"/>
        </w:rPr>
        <w:t xml:space="preserve">for example insufficient numbers of commissioners where a division was particularly large or populous. These too were addressed in the early legislation. </w:t>
      </w:r>
    </w:p>
    <w:p w14:paraId="4ABAC261" w14:textId="7AB6D003" w:rsidR="007F0F2D" w:rsidRDefault="007F0F2D" w:rsidP="007F0F2D">
      <w:pPr>
        <w:spacing w:after="0"/>
        <w:ind w:firstLine="720"/>
        <w:jc w:val="both"/>
        <w:rPr>
          <w:rFonts w:ascii="Book Antiqua" w:hAnsi="Book Antiqua" w:cstheme="minorHAnsi"/>
        </w:rPr>
      </w:pPr>
      <w:r>
        <w:rPr>
          <w:rFonts w:ascii="Book Antiqua" w:hAnsi="Book Antiqua" w:cstheme="minorHAnsi"/>
        </w:rPr>
        <w:t xml:space="preserve">The statutory provisions addressing the foreseeable problems arising from territorial inflexibility were soon found to be insufficient as the income tax became an established feature of British fiscal life. It was clear that the system failed to serve the best interests of the taxpayer in terms of convenience, and that it could not, if left alone, function properly even within its localist parameters, and certainly could not meet the demands of the central revenue boards for efficiency and uniformity. First with the assessed taxes and then with the income tax, as they shared the same machinery, distinct steps were taken to ensure the system could function as it was intended.   </w:t>
      </w:r>
    </w:p>
    <w:p w14:paraId="1045BFC7" w14:textId="5C331CEE" w:rsidR="00714772" w:rsidRDefault="00653CCA" w:rsidP="007F0F2D">
      <w:pPr>
        <w:spacing w:after="0"/>
        <w:ind w:firstLine="720"/>
        <w:jc w:val="both"/>
        <w:rPr>
          <w:rFonts w:ascii="Book Antiqua" w:hAnsi="Book Antiqua" w:cstheme="minorHAnsi"/>
        </w:rPr>
      </w:pPr>
      <w:r>
        <w:rPr>
          <w:rFonts w:ascii="Book Antiqua" w:hAnsi="Book Antiqua"/>
        </w:rPr>
        <w:t xml:space="preserve">From the middle of the nineteenth century there were more general reforms to the system, allowing </w:t>
      </w:r>
      <w:r w:rsidR="005B77B4">
        <w:rPr>
          <w:rFonts w:ascii="Book Antiqua" w:hAnsi="Book Antiqua"/>
        </w:rPr>
        <w:t xml:space="preserve">the transfer of parishes from the </w:t>
      </w:r>
      <w:r w:rsidR="005B77B4" w:rsidRPr="00113F63">
        <w:rPr>
          <w:rFonts w:ascii="Book Antiqua" w:hAnsi="Book Antiqua"/>
        </w:rPr>
        <w:t xml:space="preserve">jurisdiction of one </w:t>
      </w:r>
      <w:r w:rsidR="005B77B4">
        <w:rPr>
          <w:rFonts w:ascii="Book Antiqua" w:hAnsi="Book Antiqua"/>
        </w:rPr>
        <w:t xml:space="preserve">division </w:t>
      </w:r>
      <w:r w:rsidR="005B77B4" w:rsidRPr="00113F63">
        <w:rPr>
          <w:rFonts w:ascii="Book Antiqua" w:hAnsi="Book Antiqua"/>
        </w:rPr>
        <w:t xml:space="preserve">of commissioners to another, </w:t>
      </w:r>
      <w:r w:rsidR="00714772">
        <w:rPr>
          <w:rFonts w:ascii="Book Antiqua" w:hAnsi="Book Antiqua"/>
        </w:rPr>
        <w:t>allow</w:t>
      </w:r>
      <w:r>
        <w:rPr>
          <w:rFonts w:ascii="Book Antiqua" w:hAnsi="Book Antiqua"/>
        </w:rPr>
        <w:t>ing</w:t>
      </w:r>
      <w:r w:rsidR="00714772">
        <w:rPr>
          <w:rFonts w:ascii="Book Antiqua" w:hAnsi="Book Antiqua"/>
        </w:rPr>
        <w:t xml:space="preserve"> parishes to be united</w:t>
      </w:r>
      <w:r w:rsidR="00714772" w:rsidRPr="000C5EDC">
        <w:rPr>
          <w:rFonts w:ascii="Book Antiqua" w:hAnsi="Book Antiqua" w:cstheme="minorHAnsi"/>
        </w:rPr>
        <w:t xml:space="preserve"> for </w:t>
      </w:r>
      <w:r w:rsidR="00714772">
        <w:rPr>
          <w:rFonts w:ascii="Book Antiqua" w:hAnsi="Book Antiqua" w:cstheme="minorHAnsi"/>
        </w:rPr>
        <w:t>the more convenient execution of the taxing Acts</w:t>
      </w:r>
      <w:r>
        <w:rPr>
          <w:rFonts w:ascii="Book Antiqua" w:hAnsi="Book Antiqua" w:cstheme="minorHAnsi"/>
        </w:rPr>
        <w:t xml:space="preserve">, permitting the grouping of </w:t>
      </w:r>
      <w:r w:rsidR="00714772" w:rsidRPr="00A42385">
        <w:rPr>
          <w:rFonts w:ascii="Book Antiqua" w:hAnsi="Book Antiqua" w:cstheme="minorHAnsi"/>
        </w:rPr>
        <w:t>parishes together for the purposes of collection</w:t>
      </w:r>
      <w:r w:rsidR="00714772">
        <w:rPr>
          <w:rFonts w:ascii="Book Antiqua" w:hAnsi="Book Antiqua" w:cstheme="minorHAnsi"/>
        </w:rPr>
        <w:t>, and</w:t>
      </w:r>
      <w:r>
        <w:rPr>
          <w:rFonts w:ascii="Book Antiqua" w:hAnsi="Book Antiqua" w:cstheme="minorHAnsi"/>
        </w:rPr>
        <w:t xml:space="preserve">, finally, adopting </w:t>
      </w:r>
      <w:r w:rsidR="00714772">
        <w:rPr>
          <w:rFonts w:ascii="Book Antiqua" w:hAnsi="Book Antiqua" w:cstheme="minorHAnsi"/>
        </w:rPr>
        <w:t>the poor law parish as the administrative area for income tax</w:t>
      </w:r>
      <w:r w:rsidR="00397D31">
        <w:rPr>
          <w:rFonts w:ascii="Book Antiqua" w:hAnsi="Book Antiqua" w:cstheme="minorHAnsi"/>
        </w:rPr>
        <w:t>.</w:t>
      </w:r>
      <w:r w:rsidR="002114AF">
        <w:rPr>
          <w:rFonts w:ascii="Book Antiqua" w:hAnsi="Book Antiqua" w:cstheme="minorHAnsi"/>
        </w:rPr>
        <w:t xml:space="preserve"> </w:t>
      </w:r>
      <w:r w:rsidR="00397D31">
        <w:rPr>
          <w:rFonts w:ascii="Book Antiqua" w:hAnsi="Book Antiqua" w:cstheme="minorHAnsi"/>
        </w:rPr>
        <w:t>The</w:t>
      </w:r>
      <w:r w:rsidR="00480D55">
        <w:rPr>
          <w:rFonts w:ascii="Book Antiqua" w:hAnsi="Book Antiqua" w:cstheme="minorHAnsi"/>
        </w:rPr>
        <w:t>se reforms were useful and extensively used, but were problematic in two</w:t>
      </w:r>
      <w:r w:rsidR="00397D31">
        <w:rPr>
          <w:rFonts w:ascii="Book Antiqua" w:hAnsi="Book Antiqua" w:cstheme="minorHAnsi"/>
        </w:rPr>
        <w:t xml:space="preserve"> </w:t>
      </w:r>
      <w:r w:rsidR="00480D55">
        <w:rPr>
          <w:rFonts w:ascii="Book Antiqua" w:hAnsi="Book Antiqua" w:cstheme="minorHAnsi"/>
        </w:rPr>
        <w:t>ways. First</w:t>
      </w:r>
      <w:r w:rsidR="00397D31">
        <w:rPr>
          <w:rFonts w:ascii="Book Antiqua" w:hAnsi="Book Antiqua" w:cstheme="minorHAnsi"/>
        </w:rPr>
        <w:t xml:space="preserve">, they all </w:t>
      </w:r>
      <w:r w:rsidR="00480D55">
        <w:rPr>
          <w:rFonts w:ascii="Book Antiqua" w:hAnsi="Book Antiqua" w:cstheme="minorHAnsi"/>
        </w:rPr>
        <w:t>allowed adjustments only</w:t>
      </w:r>
      <w:r w:rsidR="00397D31">
        <w:rPr>
          <w:rFonts w:ascii="Book Antiqua" w:hAnsi="Book Antiqua" w:cstheme="minorHAnsi"/>
        </w:rPr>
        <w:t xml:space="preserve"> to </w:t>
      </w:r>
      <w:r w:rsidR="002114AF">
        <w:rPr>
          <w:rFonts w:ascii="Book Antiqua" w:hAnsi="Book Antiqua" w:cstheme="minorHAnsi"/>
        </w:rPr>
        <w:t xml:space="preserve">divisions and </w:t>
      </w:r>
      <w:r w:rsidR="00397D31">
        <w:rPr>
          <w:rFonts w:ascii="Book Antiqua" w:hAnsi="Book Antiqua" w:cstheme="minorHAnsi"/>
        </w:rPr>
        <w:t>parishes within the county</w:t>
      </w:r>
      <w:r w:rsidR="002114AF">
        <w:rPr>
          <w:rFonts w:ascii="Book Antiqua" w:hAnsi="Book Antiqua" w:cstheme="minorHAnsi"/>
        </w:rPr>
        <w:t xml:space="preserve"> area</w:t>
      </w:r>
      <w:r w:rsidR="00397D31">
        <w:rPr>
          <w:rFonts w:ascii="Book Antiqua" w:hAnsi="Book Antiqua" w:cstheme="minorHAnsi"/>
        </w:rPr>
        <w:t xml:space="preserve">, </w:t>
      </w:r>
      <w:r w:rsidR="006974A9">
        <w:rPr>
          <w:rFonts w:ascii="Book Antiqua" w:hAnsi="Book Antiqua" w:cstheme="minorHAnsi"/>
        </w:rPr>
        <w:t>and s</w:t>
      </w:r>
      <w:r w:rsidR="00397D31">
        <w:rPr>
          <w:rFonts w:ascii="Book Antiqua" w:hAnsi="Book Antiqua" w:cstheme="minorHAnsi"/>
        </w:rPr>
        <w:t xml:space="preserve">econdly, </w:t>
      </w:r>
      <w:r w:rsidR="002114AF">
        <w:rPr>
          <w:rFonts w:ascii="Book Antiqua" w:hAnsi="Book Antiqua" w:cstheme="minorHAnsi"/>
        </w:rPr>
        <w:t>m</w:t>
      </w:r>
      <w:r w:rsidR="002114AF" w:rsidRPr="00455BB5">
        <w:rPr>
          <w:rFonts w:ascii="Book Antiqua" w:hAnsi="Book Antiqua"/>
        </w:rPr>
        <w:t xml:space="preserve">ost changes still had to be initiated by the Land Tax Commissioners rather than the Inland Revenue, and so the Land Tax administration was still the fundamental controlling model. None of the reforms had even begun to address the fundamental problem of an obsolete framework </w:t>
      </w:r>
      <w:r w:rsidR="002114AF">
        <w:rPr>
          <w:rFonts w:ascii="Book Antiqua" w:hAnsi="Book Antiqua"/>
        </w:rPr>
        <w:t>for</w:t>
      </w:r>
      <w:r w:rsidR="002114AF" w:rsidRPr="00455BB5">
        <w:rPr>
          <w:rFonts w:ascii="Book Antiqua" w:hAnsi="Book Antiqua"/>
        </w:rPr>
        <w:t xml:space="preserve"> the administration of tax. </w:t>
      </w:r>
    </w:p>
    <w:p w14:paraId="6BE035DA" w14:textId="1CC0750F" w:rsidR="00950A56" w:rsidRDefault="00952788" w:rsidP="00952788">
      <w:pPr>
        <w:pStyle w:val="main"/>
        <w:shd w:val="clear" w:color="auto" w:fill="FFFFFF"/>
        <w:spacing w:before="0" w:beforeAutospacing="0" w:after="0" w:afterAutospacing="0"/>
        <w:ind w:firstLine="720"/>
        <w:jc w:val="both"/>
        <w:rPr>
          <w:rFonts w:ascii="Book Antiqua" w:hAnsi="Book Antiqua"/>
          <w:sz w:val="22"/>
          <w:szCs w:val="22"/>
        </w:rPr>
      </w:pPr>
      <w:r w:rsidRPr="0067381C">
        <w:rPr>
          <w:rFonts w:ascii="Book Antiqua" w:hAnsi="Book Antiqua"/>
          <w:sz w:val="22"/>
          <w:szCs w:val="22"/>
        </w:rPr>
        <w:t xml:space="preserve">Many of the divisions in England and Wales were outdated in income tax terms. </w:t>
      </w:r>
      <w:r>
        <w:rPr>
          <w:rFonts w:ascii="Book Antiqua" w:hAnsi="Book Antiqua"/>
          <w:sz w:val="22"/>
          <w:szCs w:val="22"/>
        </w:rPr>
        <w:t xml:space="preserve">They no longer reflected the social, economic and demographic conditions prevailing in </w:t>
      </w:r>
      <w:r w:rsidR="00AC04F1">
        <w:rPr>
          <w:rFonts w:ascii="Book Antiqua" w:hAnsi="Book Antiqua"/>
          <w:sz w:val="22"/>
          <w:szCs w:val="22"/>
        </w:rPr>
        <w:t xml:space="preserve">a number </w:t>
      </w:r>
      <w:r>
        <w:rPr>
          <w:rFonts w:ascii="Book Antiqua" w:hAnsi="Book Antiqua"/>
          <w:sz w:val="22"/>
          <w:szCs w:val="22"/>
        </w:rPr>
        <w:t xml:space="preserve"> of them, nor took account of the new and major developments in communications. Some divisions were no longer sufficiently important to warrant </w:t>
      </w:r>
      <w:r w:rsidR="00AC04F1">
        <w:rPr>
          <w:rFonts w:ascii="Book Antiqua" w:hAnsi="Book Antiqua"/>
          <w:sz w:val="22"/>
          <w:szCs w:val="22"/>
        </w:rPr>
        <w:t>being maintained</w:t>
      </w:r>
      <w:r>
        <w:rPr>
          <w:rFonts w:ascii="Book Antiqua" w:hAnsi="Book Antiqua"/>
          <w:sz w:val="22"/>
          <w:szCs w:val="22"/>
        </w:rPr>
        <w:t xml:space="preserve"> in their original form, while others were far too large and needed to be subdivided. </w:t>
      </w:r>
      <w:r w:rsidR="006974A9">
        <w:rPr>
          <w:rFonts w:ascii="Book Antiqua" w:hAnsi="Book Antiqua"/>
          <w:sz w:val="22"/>
          <w:szCs w:val="22"/>
        </w:rPr>
        <w:t>The face of Britain had changed by the later years of the nineteenth century, and the territorial arrangement had not changed with it.</w:t>
      </w:r>
    </w:p>
    <w:p w14:paraId="7A98AE28" w14:textId="219E1104" w:rsidR="00480D55" w:rsidRDefault="00952788" w:rsidP="00952788">
      <w:pPr>
        <w:pStyle w:val="main"/>
        <w:shd w:val="clear" w:color="auto" w:fill="FFFFFF"/>
        <w:spacing w:before="0" w:beforeAutospacing="0" w:after="0" w:afterAutospacing="0"/>
        <w:ind w:firstLine="720"/>
        <w:jc w:val="both"/>
        <w:rPr>
          <w:rFonts w:ascii="Book Antiqua" w:hAnsi="Book Antiqua"/>
          <w:sz w:val="22"/>
          <w:szCs w:val="22"/>
        </w:rPr>
      </w:pPr>
      <w:r>
        <w:rPr>
          <w:rFonts w:ascii="Book Antiqua" w:hAnsi="Book Antiqua"/>
          <w:sz w:val="22"/>
          <w:szCs w:val="22"/>
        </w:rPr>
        <w:t>The old territorial arrangement caused inconvenience to both taxpayer and tax official, and this in turn led to increased inefficiency</w:t>
      </w:r>
      <w:r w:rsidRPr="00803FB1">
        <w:rPr>
          <w:rFonts w:ascii="Book Antiqua" w:hAnsi="Book Antiqua"/>
          <w:sz w:val="22"/>
          <w:szCs w:val="22"/>
        </w:rPr>
        <w:t xml:space="preserve"> </w:t>
      </w:r>
      <w:r>
        <w:rPr>
          <w:rFonts w:ascii="Book Antiqua" w:hAnsi="Book Antiqua"/>
          <w:sz w:val="22"/>
          <w:szCs w:val="22"/>
        </w:rPr>
        <w:t>and raised costs. It</w:t>
      </w:r>
      <w:r w:rsidRPr="0067381C">
        <w:rPr>
          <w:rFonts w:ascii="Book Antiqua" w:hAnsi="Book Antiqua"/>
          <w:sz w:val="22"/>
          <w:szCs w:val="22"/>
        </w:rPr>
        <w:t xml:space="preserve"> reduce</w:t>
      </w:r>
      <w:r>
        <w:rPr>
          <w:rFonts w:ascii="Book Antiqua" w:hAnsi="Book Antiqua"/>
          <w:sz w:val="22"/>
          <w:szCs w:val="22"/>
        </w:rPr>
        <w:t>d</w:t>
      </w:r>
      <w:r w:rsidRPr="0067381C">
        <w:rPr>
          <w:rFonts w:ascii="Book Antiqua" w:hAnsi="Book Antiqua"/>
          <w:sz w:val="22"/>
          <w:szCs w:val="22"/>
        </w:rPr>
        <w:t xml:space="preserve"> the facilities available to the public and increase</w:t>
      </w:r>
      <w:r>
        <w:rPr>
          <w:rFonts w:ascii="Book Antiqua" w:hAnsi="Book Antiqua"/>
          <w:sz w:val="22"/>
          <w:szCs w:val="22"/>
        </w:rPr>
        <w:t>d</w:t>
      </w:r>
      <w:r w:rsidRPr="0067381C">
        <w:rPr>
          <w:rFonts w:ascii="Book Antiqua" w:hAnsi="Book Antiqua"/>
          <w:sz w:val="22"/>
          <w:szCs w:val="22"/>
        </w:rPr>
        <w:t xml:space="preserve"> the cost of administration</w:t>
      </w:r>
      <w:r>
        <w:rPr>
          <w:rFonts w:ascii="Book Antiqua" w:hAnsi="Book Antiqua"/>
          <w:sz w:val="22"/>
          <w:szCs w:val="22"/>
        </w:rPr>
        <w:t>. It prevented the Inland Revenue from being responsive to changing conditions</w:t>
      </w:r>
      <w:r w:rsidR="001E2085">
        <w:rPr>
          <w:rFonts w:ascii="Book Antiqua" w:hAnsi="Book Antiqua"/>
          <w:sz w:val="22"/>
          <w:szCs w:val="22"/>
        </w:rPr>
        <w:t>,</w:t>
      </w:r>
      <w:r w:rsidR="00AC04F1">
        <w:rPr>
          <w:rFonts w:ascii="Book Antiqua" w:hAnsi="Book Antiqua"/>
          <w:sz w:val="22"/>
          <w:szCs w:val="22"/>
        </w:rPr>
        <w:t xml:space="preserve"> </w:t>
      </w:r>
      <w:r w:rsidR="001E2085">
        <w:rPr>
          <w:rFonts w:ascii="Book Antiqua" w:hAnsi="Book Antiqua"/>
          <w:sz w:val="22"/>
          <w:szCs w:val="22"/>
        </w:rPr>
        <w:t xml:space="preserve">and constrained even their own internal flexible </w:t>
      </w:r>
      <w:r w:rsidR="001E2085">
        <w:rPr>
          <w:rFonts w:ascii="Book Antiqua" w:hAnsi="Book Antiqua"/>
          <w:sz w:val="22"/>
          <w:szCs w:val="22"/>
        </w:rPr>
        <w:lastRenderedPageBreak/>
        <w:t xml:space="preserve">territorial arrangements. </w:t>
      </w:r>
      <w:r w:rsidR="001E2085" w:rsidRPr="00C7028B">
        <w:rPr>
          <w:rFonts w:ascii="Book Antiqua" w:hAnsi="Book Antiqua" w:cstheme="minorHAnsi"/>
          <w:sz w:val="22"/>
          <w:szCs w:val="22"/>
        </w:rPr>
        <w:t>Th</w:t>
      </w:r>
      <w:r w:rsidR="001E2085">
        <w:rPr>
          <w:rFonts w:ascii="Book Antiqua" w:hAnsi="Book Antiqua" w:cstheme="minorHAnsi"/>
          <w:sz w:val="22"/>
          <w:szCs w:val="22"/>
        </w:rPr>
        <w:t>e need to correlate the administrative districts of the surveyor with that of the local commissioners</w:t>
      </w:r>
      <w:r w:rsidR="001E2085" w:rsidRPr="00C7028B">
        <w:rPr>
          <w:rFonts w:ascii="Book Antiqua" w:hAnsi="Book Antiqua" w:cstheme="minorHAnsi"/>
          <w:sz w:val="22"/>
          <w:szCs w:val="22"/>
        </w:rPr>
        <w:t xml:space="preserve"> placed a severe strain on individual </w:t>
      </w:r>
      <w:r w:rsidR="001E2085">
        <w:rPr>
          <w:rFonts w:ascii="Book Antiqua" w:hAnsi="Book Antiqua" w:cstheme="minorHAnsi"/>
          <w:sz w:val="22"/>
          <w:szCs w:val="22"/>
        </w:rPr>
        <w:t>officers</w:t>
      </w:r>
      <w:r w:rsidR="008D2650">
        <w:rPr>
          <w:rFonts w:ascii="Book Antiqua" w:hAnsi="Book Antiqua" w:cstheme="minorHAnsi"/>
          <w:sz w:val="22"/>
          <w:szCs w:val="22"/>
        </w:rPr>
        <w:t>.</w:t>
      </w:r>
    </w:p>
    <w:p w14:paraId="4157D155" w14:textId="5A6FA42E" w:rsidR="00E152E5" w:rsidRDefault="00E7272F" w:rsidP="002D6809">
      <w:pPr>
        <w:spacing w:after="0"/>
        <w:ind w:firstLine="720"/>
        <w:jc w:val="both"/>
        <w:rPr>
          <w:rFonts w:ascii="Book Antiqua" w:hAnsi="Book Antiqua" w:cs="Arial"/>
          <w:color w:val="333333"/>
          <w:shd w:val="clear" w:color="auto" w:fill="FFFFFF"/>
        </w:rPr>
      </w:pPr>
      <w:r w:rsidRPr="008D56DF">
        <w:rPr>
          <w:rFonts w:ascii="Book Antiqua" w:hAnsi="Book Antiqua"/>
        </w:rPr>
        <w:t xml:space="preserve">It was when a serious shortfall in Inland Revenue staff occurred, at the very time that a Royal Commission began a comprehensive investigation into the substance and administration of the income tax, that the issue </w:t>
      </w:r>
      <w:r>
        <w:rPr>
          <w:rFonts w:ascii="Book Antiqua" w:hAnsi="Book Antiqua"/>
        </w:rPr>
        <w:t xml:space="preserve">of territorial organisation </w:t>
      </w:r>
      <w:r w:rsidRPr="008D56DF">
        <w:rPr>
          <w:rFonts w:ascii="Book Antiqua" w:hAnsi="Book Antiqua"/>
        </w:rPr>
        <w:t>was raised and its serious shortcomings exposed.</w:t>
      </w:r>
      <w:r w:rsidRPr="008D56DF">
        <w:rPr>
          <w:rFonts w:ascii="Book Antiqua" w:hAnsi="Book Antiqua"/>
          <w:b/>
          <w:bCs/>
        </w:rPr>
        <w:t xml:space="preserve"> </w:t>
      </w:r>
      <w:r w:rsidRPr="008D56DF">
        <w:rPr>
          <w:rFonts w:ascii="Book Antiqua" w:hAnsi="Book Antiqua"/>
        </w:rPr>
        <w:t xml:space="preserve">The First World War resulted in a huge increase in direct taxation, a shortage of trained officials, and an urgent need for increased efficiency. </w:t>
      </w:r>
      <w:r w:rsidR="00AE459F">
        <w:rPr>
          <w:rFonts w:ascii="Book Antiqua" w:hAnsi="Book Antiqua"/>
        </w:rPr>
        <w:t xml:space="preserve">The Royal Commission on the Income Tax 1920 was persuaded, </w:t>
      </w:r>
      <w:r w:rsidR="008D2650">
        <w:rPr>
          <w:rFonts w:ascii="Book Antiqua" w:hAnsi="Book Antiqua"/>
        </w:rPr>
        <w:t>but its recommendations were not acted upon. Indeed, there</w:t>
      </w:r>
      <w:r w:rsidR="002D6809">
        <w:rPr>
          <w:rFonts w:ascii="Book Antiqua" w:hAnsi="Book Antiqua"/>
        </w:rPr>
        <w:t xml:space="preserve"> followed a period of over forty years of complete failure to engage with these recommendations, essentially because the </w:t>
      </w:r>
      <w:r w:rsidR="009F1990">
        <w:rPr>
          <w:rFonts w:ascii="Book Antiqua" w:hAnsi="Book Antiqua"/>
        </w:rPr>
        <w:t>issue of territorial organisation</w:t>
      </w:r>
      <w:r w:rsidR="002D6809">
        <w:rPr>
          <w:rFonts w:ascii="Book Antiqua" w:hAnsi="Book Antiqua"/>
        </w:rPr>
        <w:t xml:space="preserve"> underpinned the position of General Commissioners as the assessing body for income tax. </w:t>
      </w:r>
      <w:r w:rsidR="009F1990">
        <w:rPr>
          <w:rFonts w:ascii="Book Antiqua" w:hAnsi="Book Antiqua"/>
        </w:rPr>
        <w:t xml:space="preserve">The issue in question was, therefore, not a mere recasting of administrative areas, but a far more profound reform going to the heart of the orthodox system of administering the direct taxes. As a result the </w:t>
      </w:r>
      <w:r w:rsidR="002D6809">
        <w:rPr>
          <w:rFonts w:ascii="Book Antiqua" w:hAnsi="Book Antiqua"/>
        </w:rPr>
        <w:t xml:space="preserve">Revenue Bill 1921 </w:t>
      </w:r>
      <w:r w:rsidR="009F1990">
        <w:rPr>
          <w:rFonts w:ascii="Book Antiqua" w:hAnsi="Book Antiqua"/>
        </w:rPr>
        <w:t xml:space="preserve">and the </w:t>
      </w:r>
      <w:r w:rsidR="009F1990" w:rsidRPr="00565C2D">
        <w:rPr>
          <w:rFonts w:ascii="Book Antiqua" w:hAnsi="Book Antiqua"/>
        </w:rPr>
        <w:t>draft codification bill in 1936</w:t>
      </w:r>
      <w:r w:rsidR="00495429">
        <w:rPr>
          <w:rFonts w:ascii="Book Antiqua" w:hAnsi="Book Antiqua"/>
        </w:rPr>
        <w:t>, both of</w:t>
      </w:r>
      <w:r w:rsidR="009F1990">
        <w:rPr>
          <w:rFonts w:ascii="Book Antiqua" w:hAnsi="Book Antiqua"/>
        </w:rPr>
        <w:t xml:space="preserve"> which addressed the issue</w:t>
      </w:r>
      <w:r w:rsidR="00495429">
        <w:rPr>
          <w:rFonts w:ascii="Book Antiqua" w:hAnsi="Book Antiqua"/>
        </w:rPr>
        <w:t>,</w:t>
      </w:r>
      <w:r w:rsidR="009F1990">
        <w:rPr>
          <w:rFonts w:ascii="Book Antiqua" w:hAnsi="Book Antiqua"/>
        </w:rPr>
        <w:t xml:space="preserve"> came to nothing, and the Income Tax Act 1952 expressly retained the old divisions</w:t>
      </w:r>
      <w:r w:rsidR="00E152E5">
        <w:rPr>
          <w:rFonts w:ascii="Book Antiqua" w:hAnsi="Book Antiqua"/>
        </w:rPr>
        <w:t xml:space="preserve">. Reform </w:t>
      </w:r>
      <w:r w:rsidR="00495429">
        <w:rPr>
          <w:rFonts w:ascii="Book Antiqua" w:hAnsi="Book Antiqua"/>
        </w:rPr>
        <w:t>ultimately</w:t>
      </w:r>
      <w:r w:rsidR="00E152E5">
        <w:rPr>
          <w:rFonts w:ascii="Book Antiqua" w:hAnsi="Book Antiqua"/>
        </w:rPr>
        <w:t xml:space="preserve"> came in 1964 when the </w:t>
      </w:r>
      <w:r w:rsidR="002D6809">
        <w:rPr>
          <w:rFonts w:ascii="Book Antiqua" w:hAnsi="Book Antiqua" w:cstheme="minorHAnsi"/>
        </w:rPr>
        <w:t>In</w:t>
      </w:r>
      <w:r w:rsidR="002D6809" w:rsidRPr="00533698">
        <w:rPr>
          <w:rFonts w:ascii="Book Antiqua" w:hAnsi="Book Antiqua" w:cstheme="minorHAnsi"/>
        </w:rPr>
        <w:t xml:space="preserve">come Tax Management Act finally divested </w:t>
      </w:r>
      <w:r w:rsidR="00E152E5">
        <w:rPr>
          <w:rFonts w:ascii="Book Antiqua" w:hAnsi="Book Antiqua" w:cstheme="minorHAnsi"/>
        </w:rPr>
        <w:t xml:space="preserve">the General Commissioners </w:t>
      </w:r>
      <w:r w:rsidR="002D6809" w:rsidRPr="00533698">
        <w:rPr>
          <w:rFonts w:ascii="Book Antiqua" w:hAnsi="Book Antiqua" w:cstheme="minorHAnsi"/>
        </w:rPr>
        <w:t>of their assessing functions in favour of the Inland Revenue</w:t>
      </w:r>
      <w:r w:rsidR="00E152E5">
        <w:rPr>
          <w:rFonts w:ascii="Book Antiqua" w:hAnsi="Book Antiqua" w:cstheme="minorHAnsi"/>
        </w:rPr>
        <w:t xml:space="preserve">. </w:t>
      </w:r>
      <w:r w:rsidR="000C5CCA">
        <w:rPr>
          <w:rFonts w:ascii="Book Antiqua" w:hAnsi="Book Antiqua" w:cstheme="minorHAnsi"/>
        </w:rPr>
        <w:t>Crucially, a</w:t>
      </w:r>
      <w:r w:rsidR="00053C01">
        <w:rPr>
          <w:rFonts w:ascii="Book Antiqua" w:hAnsi="Book Antiqua" w:cstheme="minorHAnsi"/>
        </w:rPr>
        <w:t xml:space="preserve">ssessment was no longer tied to the old </w:t>
      </w:r>
      <w:r w:rsidR="000C5CCA" w:rsidRPr="00765C52">
        <w:rPr>
          <w:rFonts w:ascii="Book Antiqua" w:hAnsi="Book Antiqua"/>
        </w:rPr>
        <w:t>land tax areas of jurisdiction</w:t>
      </w:r>
      <w:r w:rsidR="000C5CCA">
        <w:rPr>
          <w:rFonts w:ascii="Book Antiqua" w:hAnsi="Book Antiqua" w:cstheme="minorHAnsi"/>
        </w:rPr>
        <w:t xml:space="preserve">. </w:t>
      </w:r>
      <w:r w:rsidR="00E152E5">
        <w:rPr>
          <w:rFonts w:ascii="Book Antiqua" w:hAnsi="Book Antiqua" w:cstheme="minorHAnsi"/>
        </w:rPr>
        <w:t xml:space="preserve">Although </w:t>
      </w:r>
      <w:r w:rsidR="000C5CCA">
        <w:rPr>
          <w:rFonts w:ascii="Book Antiqua" w:hAnsi="Book Antiqua" w:cstheme="minorHAnsi"/>
        </w:rPr>
        <w:t>the General Commissioners retained their</w:t>
      </w:r>
      <w:r w:rsidR="002D6809" w:rsidRPr="00533698">
        <w:rPr>
          <w:rFonts w:ascii="Book Antiqua" w:hAnsi="Book Antiqua" w:cstheme="minorHAnsi"/>
        </w:rPr>
        <w:t xml:space="preserve"> appellate powers</w:t>
      </w:r>
      <w:r w:rsidR="00E152E5">
        <w:rPr>
          <w:rFonts w:ascii="Book Antiqua" w:hAnsi="Book Antiqua" w:cstheme="minorHAnsi"/>
        </w:rPr>
        <w:t xml:space="preserve">, and they were to continue to act in the same divisions as before, </w:t>
      </w:r>
      <w:r w:rsidR="000C5CCA">
        <w:rPr>
          <w:rFonts w:ascii="Book Antiqua" w:hAnsi="Book Antiqua" w:cstheme="minorHAnsi"/>
        </w:rPr>
        <w:t xml:space="preserve">the geographical limitations had lost their potency. </w:t>
      </w:r>
    </w:p>
    <w:p w14:paraId="4DFD9289" w14:textId="07B60A66" w:rsidR="002D6809" w:rsidRDefault="000C5CCA" w:rsidP="002D6809">
      <w:pPr>
        <w:spacing w:after="0"/>
        <w:ind w:firstLine="720"/>
        <w:jc w:val="both"/>
        <w:rPr>
          <w:rFonts w:ascii="Book Antiqua" w:hAnsi="Book Antiqua"/>
        </w:rPr>
      </w:pPr>
      <w:r>
        <w:rPr>
          <w:rFonts w:ascii="Book Antiqua" w:hAnsi="Book Antiqua" w:cs="Arial"/>
          <w:color w:val="333333"/>
          <w:shd w:val="clear" w:color="auto" w:fill="FFFFFF"/>
        </w:rPr>
        <w:t xml:space="preserve">The territorial organisation of the income tax, </w:t>
      </w:r>
      <w:r w:rsidRPr="00765C52">
        <w:rPr>
          <w:rFonts w:ascii="Book Antiqua" w:hAnsi="Book Antiqua"/>
        </w:rPr>
        <w:t>in its operation and in the struggle to ensure its reform</w:t>
      </w:r>
      <w:r w:rsidR="00ED40F0">
        <w:rPr>
          <w:rFonts w:ascii="Book Antiqua" w:hAnsi="Book Antiqua"/>
        </w:rPr>
        <w:t>,</w:t>
      </w:r>
      <w:r w:rsidRPr="00765C52">
        <w:rPr>
          <w:rFonts w:ascii="Book Antiqua" w:hAnsi="Book Antiqua"/>
        </w:rPr>
        <w:t xml:space="preserve"> </w:t>
      </w:r>
      <w:r w:rsidR="003159B5">
        <w:rPr>
          <w:rFonts w:ascii="Book Antiqua" w:hAnsi="Book Antiqua"/>
        </w:rPr>
        <w:t>reveals</w:t>
      </w:r>
      <w:r w:rsidRPr="00765C52">
        <w:rPr>
          <w:rFonts w:ascii="Book Antiqua" w:hAnsi="Book Antiqua"/>
        </w:rPr>
        <w:t xml:space="preserve"> the priorities and constraints that </w:t>
      </w:r>
      <w:r w:rsidR="00ED40F0">
        <w:rPr>
          <w:rFonts w:ascii="Book Antiqua" w:hAnsi="Book Antiqua"/>
        </w:rPr>
        <w:t>moulded</w:t>
      </w:r>
      <w:r w:rsidRPr="00765C52">
        <w:rPr>
          <w:rFonts w:ascii="Book Antiqua" w:hAnsi="Book Antiqua"/>
        </w:rPr>
        <w:t xml:space="preserve"> the localist system.</w:t>
      </w:r>
      <w:r w:rsidR="00ED40F0">
        <w:rPr>
          <w:rFonts w:ascii="Book Antiqua" w:hAnsi="Book Antiqua"/>
        </w:rPr>
        <w:t xml:space="preserve"> It </w:t>
      </w:r>
      <w:r w:rsidR="003159B5">
        <w:rPr>
          <w:rFonts w:ascii="Book Antiqua" w:hAnsi="Book Antiqua"/>
        </w:rPr>
        <w:t xml:space="preserve">also </w:t>
      </w:r>
      <w:r w:rsidR="00ED40F0">
        <w:rPr>
          <w:rFonts w:ascii="Book Antiqua" w:hAnsi="Book Antiqua"/>
        </w:rPr>
        <w:t xml:space="preserve">demonstrates the significance of the </w:t>
      </w:r>
      <w:r w:rsidR="00ED40F0" w:rsidRPr="00765C52">
        <w:rPr>
          <w:rFonts w:ascii="Book Antiqua" w:hAnsi="Book Antiqua"/>
        </w:rPr>
        <w:t>entire system of local tax administration</w:t>
      </w:r>
      <w:r w:rsidR="00ED40F0">
        <w:rPr>
          <w:rFonts w:ascii="Book Antiqua" w:hAnsi="Book Antiqua"/>
        </w:rPr>
        <w:t xml:space="preserve"> to the taxpayer, the power of vested interests, </w:t>
      </w:r>
      <w:r w:rsidR="00D65562">
        <w:rPr>
          <w:rFonts w:ascii="Book Antiqua" w:hAnsi="Book Antiqua"/>
        </w:rPr>
        <w:t>the</w:t>
      </w:r>
      <w:r w:rsidR="00476EF6">
        <w:rPr>
          <w:rFonts w:ascii="Book Antiqua" w:hAnsi="Book Antiqua"/>
        </w:rPr>
        <w:t xml:space="preserve"> pragmati</w:t>
      </w:r>
      <w:r w:rsidR="00D65562">
        <w:rPr>
          <w:rFonts w:ascii="Book Antiqua" w:hAnsi="Book Antiqua"/>
        </w:rPr>
        <w:t xml:space="preserve">sm of the Inland Revenue, and the isolation of tax law. </w:t>
      </w:r>
      <w:r w:rsidR="00476EF6">
        <w:rPr>
          <w:rFonts w:ascii="Book Antiqua" w:hAnsi="Book Antiqua"/>
        </w:rPr>
        <w:t xml:space="preserve"> </w:t>
      </w:r>
    </w:p>
    <w:sectPr w:rsidR="002D680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4F541" w14:textId="77777777" w:rsidR="007F0F2D" w:rsidRDefault="007F0F2D" w:rsidP="007F0F2D">
      <w:pPr>
        <w:spacing w:after="0" w:line="240" w:lineRule="auto"/>
      </w:pPr>
      <w:r>
        <w:separator/>
      </w:r>
    </w:p>
  </w:endnote>
  <w:endnote w:type="continuationSeparator" w:id="0">
    <w:p w14:paraId="780BBC97" w14:textId="77777777" w:rsidR="007F0F2D" w:rsidRDefault="007F0F2D" w:rsidP="007F0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34CDF" w14:textId="77777777" w:rsidR="007F0F2D" w:rsidRDefault="007F0F2D" w:rsidP="007F0F2D">
      <w:pPr>
        <w:spacing w:after="0" w:line="240" w:lineRule="auto"/>
      </w:pPr>
      <w:r>
        <w:separator/>
      </w:r>
    </w:p>
  </w:footnote>
  <w:footnote w:type="continuationSeparator" w:id="0">
    <w:p w14:paraId="27E39F29" w14:textId="77777777" w:rsidR="007F0F2D" w:rsidRDefault="007F0F2D" w:rsidP="007F0F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078EE"/>
    <w:multiLevelType w:val="hybridMultilevel"/>
    <w:tmpl w:val="4E2E94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764A77"/>
    <w:multiLevelType w:val="hybridMultilevel"/>
    <w:tmpl w:val="40FC5F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EB274F"/>
    <w:multiLevelType w:val="hybridMultilevel"/>
    <w:tmpl w:val="720ED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487EB8"/>
    <w:multiLevelType w:val="hybridMultilevel"/>
    <w:tmpl w:val="37EA7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0656A3"/>
    <w:multiLevelType w:val="hybridMultilevel"/>
    <w:tmpl w:val="D416F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D37F20"/>
    <w:multiLevelType w:val="hybridMultilevel"/>
    <w:tmpl w:val="051EB040"/>
    <w:lvl w:ilvl="0" w:tplc="01A08F3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4910743"/>
    <w:multiLevelType w:val="hybridMultilevel"/>
    <w:tmpl w:val="3DF2BE6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2B45E2"/>
    <w:multiLevelType w:val="hybridMultilevel"/>
    <w:tmpl w:val="6B8EB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7E7FF0"/>
    <w:multiLevelType w:val="hybridMultilevel"/>
    <w:tmpl w:val="E4AC1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E02482"/>
    <w:multiLevelType w:val="hybridMultilevel"/>
    <w:tmpl w:val="A0FE98DC"/>
    <w:lvl w:ilvl="0" w:tplc="613A77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4733DF6"/>
    <w:multiLevelType w:val="hybridMultilevel"/>
    <w:tmpl w:val="D7603D88"/>
    <w:lvl w:ilvl="0" w:tplc="F9C230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8147847"/>
    <w:multiLevelType w:val="hybridMultilevel"/>
    <w:tmpl w:val="FEEAF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611E91"/>
    <w:multiLevelType w:val="hybridMultilevel"/>
    <w:tmpl w:val="BE4C2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FF251F"/>
    <w:multiLevelType w:val="hybridMultilevel"/>
    <w:tmpl w:val="84C4E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642C4F"/>
    <w:multiLevelType w:val="hybridMultilevel"/>
    <w:tmpl w:val="2E92E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B92257"/>
    <w:multiLevelType w:val="hybridMultilevel"/>
    <w:tmpl w:val="1CAE7E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6A2C58D8"/>
    <w:multiLevelType w:val="hybridMultilevel"/>
    <w:tmpl w:val="4F468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25659B"/>
    <w:multiLevelType w:val="hybridMultilevel"/>
    <w:tmpl w:val="CFFA4554"/>
    <w:lvl w:ilvl="0" w:tplc="277E99E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5BA3E2E"/>
    <w:multiLevelType w:val="hybridMultilevel"/>
    <w:tmpl w:val="240657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693413A"/>
    <w:multiLevelType w:val="hybridMultilevel"/>
    <w:tmpl w:val="1A6E5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0071B8"/>
    <w:multiLevelType w:val="hybridMultilevel"/>
    <w:tmpl w:val="BD32ADBC"/>
    <w:lvl w:ilvl="0" w:tplc="08090019">
      <w:start w:val="16"/>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03012939">
    <w:abstractNumId w:val="19"/>
  </w:num>
  <w:num w:numId="2" w16cid:durableId="215824826">
    <w:abstractNumId w:val="0"/>
  </w:num>
  <w:num w:numId="3" w16cid:durableId="1503619389">
    <w:abstractNumId w:val="2"/>
  </w:num>
  <w:num w:numId="4" w16cid:durableId="677543713">
    <w:abstractNumId w:val="6"/>
  </w:num>
  <w:num w:numId="5" w16cid:durableId="1476214023">
    <w:abstractNumId w:val="5"/>
  </w:num>
  <w:num w:numId="6" w16cid:durableId="1867719969">
    <w:abstractNumId w:val="17"/>
  </w:num>
  <w:num w:numId="7" w16cid:durableId="219172501">
    <w:abstractNumId w:val="9"/>
  </w:num>
  <w:num w:numId="8" w16cid:durableId="2127583234">
    <w:abstractNumId w:val="13"/>
  </w:num>
  <w:num w:numId="9" w16cid:durableId="512111027">
    <w:abstractNumId w:val="16"/>
  </w:num>
  <w:num w:numId="10" w16cid:durableId="1758018998">
    <w:abstractNumId w:val="12"/>
  </w:num>
  <w:num w:numId="11" w16cid:durableId="1012563937">
    <w:abstractNumId w:val="15"/>
  </w:num>
  <w:num w:numId="12" w16cid:durableId="784469005">
    <w:abstractNumId w:val="14"/>
  </w:num>
  <w:num w:numId="13" w16cid:durableId="28841674">
    <w:abstractNumId w:val="18"/>
  </w:num>
  <w:num w:numId="14" w16cid:durableId="1971350991">
    <w:abstractNumId w:val="20"/>
  </w:num>
  <w:num w:numId="15" w16cid:durableId="2079590123">
    <w:abstractNumId w:val="10"/>
  </w:num>
  <w:num w:numId="16" w16cid:durableId="668143543">
    <w:abstractNumId w:val="3"/>
  </w:num>
  <w:num w:numId="17" w16cid:durableId="592249138">
    <w:abstractNumId w:val="1"/>
  </w:num>
  <w:num w:numId="18" w16cid:durableId="464809024">
    <w:abstractNumId w:val="11"/>
  </w:num>
  <w:num w:numId="19" w16cid:durableId="886797963">
    <w:abstractNumId w:val="7"/>
  </w:num>
  <w:num w:numId="20" w16cid:durableId="1971323188">
    <w:abstractNumId w:val="8"/>
  </w:num>
  <w:num w:numId="21" w16cid:durableId="11545623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F2D"/>
    <w:rsid w:val="000219B5"/>
    <w:rsid w:val="00041845"/>
    <w:rsid w:val="00053C01"/>
    <w:rsid w:val="00084966"/>
    <w:rsid w:val="000958A6"/>
    <w:rsid w:val="000961F8"/>
    <w:rsid w:val="000C5CCA"/>
    <w:rsid w:val="0011658E"/>
    <w:rsid w:val="001A3172"/>
    <w:rsid w:val="001A6C86"/>
    <w:rsid w:val="001D408A"/>
    <w:rsid w:val="001E2085"/>
    <w:rsid w:val="002114AF"/>
    <w:rsid w:val="00297019"/>
    <w:rsid w:val="002D6809"/>
    <w:rsid w:val="002E67D8"/>
    <w:rsid w:val="003159B5"/>
    <w:rsid w:val="00386945"/>
    <w:rsid w:val="00397D31"/>
    <w:rsid w:val="003E1417"/>
    <w:rsid w:val="004207D7"/>
    <w:rsid w:val="00476EF6"/>
    <w:rsid w:val="00480D55"/>
    <w:rsid w:val="00495429"/>
    <w:rsid w:val="004B2F9C"/>
    <w:rsid w:val="004D476B"/>
    <w:rsid w:val="004F7F7F"/>
    <w:rsid w:val="005B77B4"/>
    <w:rsid w:val="005F1B80"/>
    <w:rsid w:val="0063652E"/>
    <w:rsid w:val="006521B2"/>
    <w:rsid w:val="00653CCA"/>
    <w:rsid w:val="006974A9"/>
    <w:rsid w:val="00702FE9"/>
    <w:rsid w:val="00714772"/>
    <w:rsid w:val="007219B3"/>
    <w:rsid w:val="0077058E"/>
    <w:rsid w:val="007845E8"/>
    <w:rsid w:val="007F0F2D"/>
    <w:rsid w:val="00855FC7"/>
    <w:rsid w:val="008818DF"/>
    <w:rsid w:val="008A7761"/>
    <w:rsid w:val="008B04E6"/>
    <w:rsid w:val="008D0C93"/>
    <w:rsid w:val="008D2650"/>
    <w:rsid w:val="00931D46"/>
    <w:rsid w:val="00950A56"/>
    <w:rsid w:val="00952788"/>
    <w:rsid w:val="009C6CBC"/>
    <w:rsid w:val="009F1990"/>
    <w:rsid w:val="00A11370"/>
    <w:rsid w:val="00A37C46"/>
    <w:rsid w:val="00AB4FCB"/>
    <w:rsid w:val="00AC04F1"/>
    <w:rsid w:val="00AE459F"/>
    <w:rsid w:val="00B8264A"/>
    <w:rsid w:val="00BC1680"/>
    <w:rsid w:val="00C571D6"/>
    <w:rsid w:val="00CE585F"/>
    <w:rsid w:val="00D65562"/>
    <w:rsid w:val="00D6714A"/>
    <w:rsid w:val="00D87F5C"/>
    <w:rsid w:val="00DA1ACA"/>
    <w:rsid w:val="00E152E5"/>
    <w:rsid w:val="00E27D4A"/>
    <w:rsid w:val="00E7272F"/>
    <w:rsid w:val="00ED40F0"/>
    <w:rsid w:val="00FB13A0"/>
    <w:rsid w:val="00FB4062"/>
    <w:rsid w:val="00FF1A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8AA4D"/>
  <w15:chartTrackingRefBased/>
  <w15:docId w15:val="{FC8C97EE-5C94-4FDD-8B40-A28B51732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2FE9"/>
  </w:style>
  <w:style w:type="paragraph" w:styleId="Heading1">
    <w:name w:val="heading 1"/>
    <w:basedOn w:val="Normal"/>
    <w:link w:val="Heading1Char"/>
    <w:uiPriority w:val="9"/>
    <w:qFormat/>
    <w:rsid w:val="007F0F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semiHidden/>
    <w:unhideWhenUsed/>
    <w:qFormat/>
    <w:rsid w:val="007F0F2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7F0F2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0F2D"/>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semiHidden/>
    <w:rsid w:val="007F0F2D"/>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7F0F2D"/>
    <w:rPr>
      <w:rFonts w:asciiTheme="majorHAnsi" w:eastAsiaTheme="majorEastAsia" w:hAnsiTheme="majorHAnsi" w:cstheme="majorBidi"/>
      <w:i/>
      <w:iCs/>
      <w:color w:val="2F5496" w:themeColor="accent1" w:themeShade="BF"/>
    </w:rPr>
  </w:style>
  <w:style w:type="character" w:styleId="FootnoteReference">
    <w:name w:val="footnote reference"/>
    <w:uiPriority w:val="99"/>
    <w:rsid w:val="007F0F2D"/>
    <w:rPr>
      <w:vertAlign w:val="superscript"/>
    </w:rPr>
  </w:style>
  <w:style w:type="paragraph" w:styleId="Header">
    <w:name w:val="header"/>
    <w:basedOn w:val="Normal"/>
    <w:link w:val="HeaderChar"/>
    <w:uiPriority w:val="99"/>
    <w:unhideWhenUsed/>
    <w:rsid w:val="007F0F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0F2D"/>
  </w:style>
  <w:style w:type="paragraph" w:styleId="Footer">
    <w:name w:val="footer"/>
    <w:basedOn w:val="Normal"/>
    <w:link w:val="FooterChar"/>
    <w:uiPriority w:val="99"/>
    <w:unhideWhenUsed/>
    <w:rsid w:val="007F0F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0F2D"/>
  </w:style>
  <w:style w:type="paragraph" w:styleId="FootnoteText">
    <w:name w:val="footnote text"/>
    <w:basedOn w:val="Normal"/>
    <w:link w:val="FootnoteTextChar"/>
    <w:unhideWhenUsed/>
    <w:rsid w:val="007F0F2D"/>
    <w:pPr>
      <w:spacing w:after="0" w:line="240" w:lineRule="auto"/>
    </w:pPr>
    <w:rPr>
      <w:sz w:val="20"/>
      <w:szCs w:val="20"/>
    </w:rPr>
  </w:style>
  <w:style w:type="character" w:customStyle="1" w:styleId="FootnoteTextChar">
    <w:name w:val="Footnote Text Char"/>
    <w:basedOn w:val="DefaultParagraphFont"/>
    <w:link w:val="FootnoteText"/>
    <w:rsid w:val="007F0F2D"/>
    <w:rPr>
      <w:sz w:val="20"/>
      <w:szCs w:val="20"/>
    </w:rPr>
  </w:style>
  <w:style w:type="paragraph" w:styleId="ListParagraph">
    <w:name w:val="List Paragraph"/>
    <w:basedOn w:val="Normal"/>
    <w:uiPriority w:val="34"/>
    <w:qFormat/>
    <w:rsid w:val="007F0F2D"/>
    <w:pPr>
      <w:ind w:left="720"/>
      <w:contextualSpacing/>
    </w:pPr>
  </w:style>
  <w:style w:type="character" w:styleId="Hyperlink">
    <w:name w:val="Hyperlink"/>
    <w:basedOn w:val="DefaultParagraphFont"/>
    <w:unhideWhenUsed/>
    <w:rsid w:val="007F0F2D"/>
    <w:rPr>
      <w:color w:val="0000FF"/>
      <w:u w:val="single"/>
    </w:rPr>
  </w:style>
  <w:style w:type="paragraph" w:customStyle="1" w:styleId="partitle">
    <w:name w:val="partitle"/>
    <w:basedOn w:val="Normal"/>
    <w:rsid w:val="007F0F2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ection-title">
    <w:name w:val="section-title"/>
    <w:basedOn w:val="Normal"/>
    <w:rsid w:val="007F0F2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ection-indent">
    <w:name w:val="section-indent"/>
    <w:basedOn w:val="DefaultParagraphFont"/>
    <w:rsid w:val="007F0F2D"/>
  </w:style>
  <w:style w:type="paragraph" w:customStyle="1" w:styleId="main">
    <w:name w:val="main"/>
    <w:basedOn w:val="Normal"/>
    <w:rsid w:val="007F0F2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ub-section-copy">
    <w:name w:val="sub-section-copy"/>
    <w:basedOn w:val="DefaultParagraphFont"/>
    <w:rsid w:val="007F0F2D"/>
  </w:style>
  <w:style w:type="character" w:customStyle="1" w:styleId="sub-section-indent">
    <w:name w:val="sub-section-indent"/>
    <w:basedOn w:val="DefaultParagraphFont"/>
    <w:rsid w:val="007F0F2D"/>
  </w:style>
  <w:style w:type="paragraph" w:customStyle="1" w:styleId="sections-heading">
    <w:name w:val="sections-heading"/>
    <w:basedOn w:val="Normal"/>
    <w:rsid w:val="007F0F2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tem-indent">
    <w:name w:val="item-indent"/>
    <w:basedOn w:val="DefaultParagraphFont"/>
    <w:rsid w:val="007F0F2D"/>
  </w:style>
  <w:style w:type="character" w:customStyle="1" w:styleId="item-copy">
    <w:name w:val="item-copy"/>
    <w:basedOn w:val="DefaultParagraphFont"/>
    <w:rsid w:val="007F0F2D"/>
  </w:style>
  <w:style w:type="paragraph" w:customStyle="1" w:styleId="solo-indent">
    <w:name w:val="solo-indent"/>
    <w:basedOn w:val="Normal"/>
    <w:rsid w:val="007F0F2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ate1">
    <w:name w:val="Date1"/>
    <w:basedOn w:val="Normal"/>
    <w:rsid w:val="007F0F2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7F0F2D"/>
    <w:rPr>
      <w:i/>
      <w:iCs/>
    </w:rPr>
  </w:style>
  <w:style w:type="table" w:styleId="TableGrid">
    <w:name w:val="Table Grid"/>
    <w:basedOn w:val="TableNormal"/>
    <w:uiPriority w:val="39"/>
    <w:rsid w:val="007F0F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bsp">
    <w:name w:val="nbsp"/>
    <w:basedOn w:val="DefaultParagraphFont"/>
    <w:rsid w:val="007F0F2D"/>
  </w:style>
  <w:style w:type="character" w:customStyle="1" w:styleId="hide-select">
    <w:name w:val="hide-select"/>
    <w:basedOn w:val="DefaultParagraphFont"/>
    <w:rsid w:val="007F0F2D"/>
  </w:style>
  <w:style w:type="paragraph" w:styleId="Bibliography">
    <w:name w:val="Bibliography"/>
    <w:basedOn w:val="Normal"/>
    <w:next w:val="Normal"/>
    <w:uiPriority w:val="37"/>
    <w:semiHidden/>
    <w:unhideWhenUsed/>
    <w:rsid w:val="007F0F2D"/>
    <w:pPr>
      <w:spacing w:line="480" w:lineRule="auto"/>
    </w:pPr>
    <w:rPr>
      <w:rFonts w:ascii="Arial" w:hAnsi="Arial"/>
      <w:color w:val="000000" w:themeColor="text1"/>
      <w:sz w:val="24"/>
    </w:rPr>
  </w:style>
  <w:style w:type="paragraph" w:styleId="HTMLPreformatted">
    <w:name w:val="HTML Preformatted"/>
    <w:basedOn w:val="Normal"/>
    <w:link w:val="HTMLPreformattedChar"/>
    <w:uiPriority w:val="99"/>
    <w:unhideWhenUsed/>
    <w:rsid w:val="007F0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7F0F2D"/>
    <w:rPr>
      <w:rFonts w:ascii="Courier New" w:eastAsia="Times New Roman" w:hAnsi="Courier New" w:cs="Courier New"/>
      <w:sz w:val="20"/>
      <w:szCs w:val="20"/>
      <w:lang w:eastAsia="en-GB"/>
    </w:rPr>
  </w:style>
  <w:style w:type="paragraph" w:styleId="NormalWeb">
    <w:name w:val="Normal (Web)"/>
    <w:basedOn w:val="Normal"/>
    <w:uiPriority w:val="99"/>
    <w:unhideWhenUsed/>
    <w:rsid w:val="007F0F2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7F0F2D"/>
    <w:rPr>
      <w:color w:val="605E5C"/>
      <w:shd w:val="clear" w:color="auto" w:fill="E1DFDD"/>
    </w:rPr>
  </w:style>
  <w:style w:type="character" w:customStyle="1" w:styleId="highlight">
    <w:name w:val="highlight"/>
    <w:basedOn w:val="DefaultParagraphFont"/>
    <w:rsid w:val="007F0F2D"/>
  </w:style>
  <w:style w:type="paragraph" w:styleId="PlainText">
    <w:name w:val="Plain Text"/>
    <w:basedOn w:val="Normal"/>
    <w:link w:val="PlainTextChar"/>
    <w:uiPriority w:val="99"/>
    <w:semiHidden/>
    <w:unhideWhenUsed/>
    <w:rsid w:val="007F0F2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F0F2D"/>
    <w:rPr>
      <w:rFonts w:ascii="Calibri" w:hAnsi="Calibri"/>
      <w:szCs w:val="21"/>
    </w:rPr>
  </w:style>
  <w:style w:type="character" w:customStyle="1" w:styleId="hcpp-quote">
    <w:name w:val="hcpp-quote"/>
    <w:basedOn w:val="DefaultParagraphFont"/>
    <w:rsid w:val="007F0F2D"/>
  </w:style>
  <w:style w:type="character" w:customStyle="1" w:styleId="hcpp-col">
    <w:name w:val="hcpp-col"/>
    <w:basedOn w:val="DefaultParagraphFont"/>
    <w:rsid w:val="007F0F2D"/>
  </w:style>
  <w:style w:type="character" w:customStyle="1" w:styleId="hcpp-member-contribution">
    <w:name w:val="hcpp-member-contribution"/>
    <w:basedOn w:val="DefaultParagraphFont"/>
    <w:rsid w:val="007F0F2D"/>
  </w:style>
  <w:style w:type="character" w:styleId="FollowedHyperlink">
    <w:name w:val="FollowedHyperlink"/>
    <w:basedOn w:val="DefaultParagraphFont"/>
    <w:uiPriority w:val="99"/>
    <w:semiHidden/>
    <w:unhideWhenUsed/>
    <w:rsid w:val="007F0F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3</Pages>
  <Words>1464</Words>
  <Characters>8346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Stebbings, Chantal</dc:creator>
  <cp:keywords/>
  <dc:description/>
  <cp:lastModifiedBy>Stebbings, Chantal</cp:lastModifiedBy>
  <cp:revision>25</cp:revision>
  <cp:lastPrinted>2022-06-11T11:05:00Z</cp:lastPrinted>
  <dcterms:created xsi:type="dcterms:W3CDTF">2022-06-06T11:16:00Z</dcterms:created>
  <dcterms:modified xsi:type="dcterms:W3CDTF">2022-06-13T09:44:00Z</dcterms:modified>
</cp:coreProperties>
</file>