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A901" w14:textId="716B1925" w:rsidR="00791E94" w:rsidRPr="00825692" w:rsidRDefault="00F233D8" w:rsidP="004E3415">
      <w:pPr>
        <w:spacing w:before="100" w:beforeAutospacing="1" w:after="0" w:line="240" w:lineRule="auto"/>
        <w:jc w:val="center"/>
        <w:outlineLvl w:val="0"/>
        <w:rPr>
          <w:rFonts w:eastAsia="Times New Roman"/>
          <w:b/>
          <w:bCs/>
          <w:kern w:val="36"/>
          <w:sz w:val="28"/>
          <w:szCs w:val="28"/>
          <w:lang w:eastAsia="en-GB"/>
        </w:rPr>
      </w:pPr>
      <w:r>
        <w:rPr>
          <w:rFonts w:eastAsia="Times New Roman"/>
          <w:b/>
          <w:bCs/>
          <w:kern w:val="36"/>
          <w:sz w:val="28"/>
          <w:szCs w:val="28"/>
          <w:lang w:eastAsia="en-GB"/>
        </w:rPr>
        <w:t>T</w:t>
      </w:r>
      <w:r w:rsidR="003360E5">
        <w:rPr>
          <w:rFonts w:eastAsia="Times New Roman"/>
          <w:b/>
          <w:bCs/>
          <w:kern w:val="36"/>
          <w:sz w:val="28"/>
          <w:szCs w:val="28"/>
          <w:lang w:eastAsia="en-GB"/>
        </w:rPr>
        <w:t xml:space="preserve">ax after the American War of Independence: A Consideration of </w:t>
      </w:r>
      <w:r w:rsidR="003360E5" w:rsidRPr="003360E5">
        <w:rPr>
          <w:rFonts w:eastAsia="Times New Roman"/>
          <w:b/>
          <w:bCs/>
          <w:i/>
          <w:iCs/>
          <w:kern w:val="36"/>
          <w:sz w:val="28"/>
          <w:szCs w:val="28"/>
          <w:lang w:eastAsia="en-GB"/>
        </w:rPr>
        <w:t>The Federalist</w:t>
      </w:r>
      <w:r w:rsidR="003360E5">
        <w:rPr>
          <w:rFonts w:eastAsia="Times New Roman"/>
          <w:b/>
          <w:bCs/>
          <w:kern w:val="36"/>
          <w:sz w:val="28"/>
          <w:szCs w:val="28"/>
          <w:lang w:eastAsia="en-GB"/>
        </w:rPr>
        <w:t xml:space="preserve"> and </w:t>
      </w:r>
      <w:r w:rsidR="003360E5" w:rsidRPr="003360E5">
        <w:rPr>
          <w:rFonts w:eastAsia="Times New Roman"/>
          <w:b/>
          <w:bCs/>
          <w:i/>
          <w:iCs/>
          <w:kern w:val="36"/>
          <w:sz w:val="28"/>
          <w:szCs w:val="28"/>
          <w:lang w:eastAsia="en-GB"/>
        </w:rPr>
        <w:t>The Anti-Federalist Papers</w:t>
      </w:r>
      <w:r w:rsidR="00825692" w:rsidRPr="00825692">
        <w:rPr>
          <w:rFonts w:eastAsia="Times New Roman"/>
          <w:b/>
          <w:bCs/>
          <w:kern w:val="36"/>
          <w:sz w:val="28"/>
          <w:szCs w:val="28"/>
          <w:lang w:eastAsia="en-GB"/>
        </w:rPr>
        <w:t>: Some First Obse</w:t>
      </w:r>
      <w:r w:rsidR="00825692">
        <w:rPr>
          <w:rFonts w:eastAsia="Times New Roman"/>
          <w:b/>
          <w:bCs/>
          <w:kern w:val="36"/>
          <w:sz w:val="28"/>
          <w:szCs w:val="28"/>
          <w:lang w:eastAsia="en-GB"/>
        </w:rPr>
        <w:t>rv</w:t>
      </w:r>
      <w:r w:rsidR="00825692" w:rsidRPr="00825692">
        <w:rPr>
          <w:rFonts w:eastAsia="Times New Roman"/>
          <w:b/>
          <w:bCs/>
          <w:kern w:val="36"/>
          <w:sz w:val="28"/>
          <w:szCs w:val="28"/>
          <w:lang w:eastAsia="en-GB"/>
        </w:rPr>
        <w:t>ations</w:t>
      </w:r>
    </w:p>
    <w:p w14:paraId="7745580D" w14:textId="77777777" w:rsidR="00825692" w:rsidRPr="001F3B9F" w:rsidRDefault="00825692" w:rsidP="001F3B9F">
      <w:pPr>
        <w:spacing w:before="100" w:beforeAutospacing="1" w:after="0" w:line="240" w:lineRule="auto"/>
        <w:jc w:val="both"/>
        <w:outlineLvl w:val="0"/>
        <w:rPr>
          <w:rFonts w:eastAsia="Times New Roman"/>
          <w:kern w:val="36"/>
          <w:lang w:eastAsia="en-GB"/>
        </w:rPr>
      </w:pPr>
    </w:p>
    <w:p w14:paraId="0D6B5208" w14:textId="77777777" w:rsidR="004E3415" w:rsidRDefault="004E3415" w:rsidP="004E3415">
      <w:pPr>
        <w:spacing w:after="0" w:line="240" w:lineRule="auto"/>
        <w:outlineLvl w:val="0"/>
        <w:rPr>
          <w:rFonts w:eastAsia="Times New Roman"/>
          <w:kern w:val="36"/>
          <w:lang w:eastAsia="en-GB"/>
        </w:rPr>
      </w:pPr>
    </w:p>
    <w:p w14:paraId="6014B845" w14:textId="5470FB73" w:rsidR="00100B5D" w:rsidRPr="009A7BAC" w:rsidRDefault="009A7BAC" w:rsidP="004E3415">
      <w:pPr>
        <w:spacing w:after="0" w:line="240" w:lineRule="auto"/>
        <w:jc w:val="center"/>
        <w:outlineLvl w:val="0"/>
        <w:rPr>
          <w:rFonts w:eastAsia="Times New Roman"/>
          <w:kern w:val="36"/>
          <w:lang w:eastAsia="en-GB"/>
        </w:rPr>
      </w:pPr>
      <w:r w:rsidRPr="009A7BAC">
        <w:rPr>
          <w:rFonts w:eastAsia="Times New Roman"/>
          <w:kern w:val="36"/>
          <w:lang w:eastAsia="en-GB"/>
        </w:rPr>
        <w:t>JANE FRECKNALL-HUGHES AND HANS GRIBNAU</w:t>
      </w:r>
    </w:p>
    <w:p w14:paraId="4C0271F9" w14:textId="6812D356" w:rsidR="003360E5" w:rsidRDefault="003360E5" w:rsidP="004E3415">
      <w:pPr>
        <w:spacing w:after="0" w:line="240" w:lineRule="auto"/>
        <w:jc w:val="both"/>
        <w:outlineLvl w:val="0"/>
        <w:rPr>
          <w:rFonts w:eastAsia="Times New Roman"/>
          <w:bCs/>
          <w:kern w:val="36"/>
          <w:lang w:val="de-DE" w:eastAsia="en-GB"/>
        </w:rPr>
      </w:pPr>
    </w:p>
    <w:p w14:paraId="35426F8C" w14:textId="77777777" w:rsidR="00820EDD" w:rsidRPr="00BC060E" w:rsidRDefault="00820EDD" w:rsidP="004E3415">
      <w:pPr>
        <w:spacing w:after="0" w:line="240" w:lineRule="auto"/>
        <w:jc w:val="both"/>
        <w:outlineLvl w:val="0"/>
        <w:rPr>
          <w:rFonts w:eastAsia="Times New Roman"/>
          <w:bCs/>
          <w:kern w:val="36"/>
          <w:lang w:val="de-DE" w:eastAsia="en-GB"/>
        </w:rPr>
      </w:pPr>
    </w:p>
    <w:p w14:paraId="4CE3EE97" w14:textId="6936BBEB" w:rsidR="00573480" w:rsidRDefault="00573480" w:rsidP="004E3415">
      <w:pPr>
        <w:spacing w:after="0" w:line="240" w:lineRule="auto"/>
        <w:jc w:val="center"/>
        <w:rPr>
          <w:bCs/>
          <w:sz w:val="22"/>
          <w:szCs w:val="22"/>
        </w:rPr>
      </w:pPr>
      <w:r w:rsidRPr="009A7BAC">
        <w:rPr>
          <w:bCs/>
          <w:sz w:val="22"/>
          <w:szCs w:val="22"/>
        </w:rPr>
        <w:t>ABSTRACT</w:t>
      </w:r>
    </w:p>
    <w:p w14:paraId="73D41D5B" w14:textId="77777777" w:rsidR="004E3415" w:rsidRPr="009A7BAC" w:rsidRDefault="004E3415" w:rsidP="004E3415">
      <w:pPr>
        <w:spacing w:after="0" w:line="240" w:lineRule="auto"/>
        <w:rPr>
          <w:bCs/>
          <w:sz w:val="22"/>
          <w:szCs w:val="22"/>
        </w:rPr>
      </w:pPr>
    </w:p>
    <w:p w14:paraId="667729FA" w14:textId="0D36BE4E" w:rsidR="00424F59" w:rsidRDefault="00DD1CC1" w:rsidP="004E3415">
      <w:pPr>
        <w:spacing w:after="0" w:line="240" w:lineRule="auto"/>
        <w:jc w:val="both"/>
        <w:rPr>
          <w:color w:val="000000" w:themeColor="text1"/>
          <w:sz w:val="22"/>
          <w:szCs w:val="22"/>
        </w:rPr>
      </w:pPr>
      <w:r w:rsidRPr="009A7BAC">
        <w:rPr>
          <w:color w:val="000000" w:themeColor="text1"/>
          <w:sz w:val="22"/>
          <w:szCs w:val="22"/>
        </w:rPr>
        <w:t xml:space="preserve">The American </w:t>
      </w:r>
      <w:r w:rsidR="00437636" w:rsidRPr="009A7BAC">
        <w:rPr>
          <w:color w:val="000000" w:themeColor="text1"/>
          <w:sz w:val="22"/>
          <w:szCs w:val="22"/>
        </w:rPr>
        <w:t xml:space="preserve">War of Independence </w:t>
      </w:r>
      <w:r w:rsidR="00BA37A1">
        <w:rPr>
          <w:color w:val="000000" w:themeColor="text1"/>
          <w:sz w:val="22"/>
          <w:szCs w:val="22"/>
        </w:rPr>
        <w:t>(</w:t>
      </w:r>
      <w:r w:rsidR="00437636" w:rsidRPr="009A7BAC">
        <w:rPr>
          <w:color w:val="000000" w:themeColor="text1"/>
          <w:sz w:val="22"/>
          <w:szCs w:val="22"/>
        </w:rPr>
        <w:t xml:space="preserve">ended formally with </w:t>
      </w:r>
      <w:r w:rsidR="004D5607" w:rsidRPr="009A7BAC">
        <w:rPr>
          <w:color w:val="000000" w:themeColor="text1"/>
          <w:sz w:val="22"/>
          <w:szCs w:val="22"/>
        </w:rPr>
        <w:t>the Versailles</w:t>
      </w:r>
      <w:r w:rsidRPr="009A7BAC">
        <w:rPr>
          <w:color w:val="000000" w:themeColor="text1"/>
          <w:sz w:val="22"/>
          <w:szCs w:val="22"/>
        </w:rPr>
        <w:t xml:space="preserve"> peace treaty </w:t>
      </w:r>
      <w:r w:rsidR="004D5607" w:rsidRPr="009A7BAC">
        <w:rPr>
          <w:color w:val="000000" w:themeColor="text1"/>
          <w:sz w:val="22"/>
          <w:szCs w:val="22"/>
        </w:rPr>
        <w:t>of</w:t>
      </w:r>
      <w:r w:rsidRPr="009A7BAC">
        <w:rPr>
          <w:color w:val="000000" w:themeColor="text1"/>
          <w:sz w:val="22"/>
          <w:szCs w:val="22"/>
        </w:rPr>
        <w:t xml:space="preserve"> 1783 – leaving 13 independent states need</w:t>
      </w:r>
      <w:r w:rsidR="009E735E" w:rsidRPr="009A7BAC">
        <w:rPr>
          <w:color w:val="000000" w:themeColor="text1"/>
          <w:sz w:val="22"/>
          <w:szCs w:val="22"/>
        </w:rPr>
        <w:t>ing</w:t>
      </w:r>
      <w:r w:rsidRPr="009A7BAC">
        <w:rPr>
          <w:color w:val="000000" w:themeColor="text1"/>
          <w:sz w:val="22"/>
          <w:szCs w:val="22"/>
        </w:rPr>
        <w:t xml:space="preserve"> a constitution. </w:t>
      </w:r>
      <w:r w:rsidR="00437636" w:rsidRPr="009A7BAC">
        <w:rPr>
          <w:color w:val="000000" w:themeColor="text1"/>
          <w:sz w:val="22"/>
          <w:szCs w:val="22"/>
        </w:rPr>
        <w:t xml:space="preserve">Tax played a key role in the lead-up to </w:t>
      </w:r>
      <w:r w:rsidR="001D555E" w:rsidRPr="009A7BAC">
        <w:rPr>
          <w:color w:val="000000" w:themeColor="text1"/>
          <w:sz w:val="22"/>
          <w:szCs w:val="22"/>
        </w:rPr>
        <w:t xml:space="preserve">and during </w:t>
      </w:r>
      <w:r w:rsidR="00437636" w:rsidRPr="009A7BAC">
        <w:rPr>
          <w:color w:val="000000" w:themeColor="text1"/>
          <w:sz w:val="22"/>
          <w:szCs w:val="22"/>
        </w:rPr>
        <w:t>the War</w:t>
      </w:r>
      <w:r w:rsidR="007E32E0" w:rsidRPr="009A7BAC">
        <w:rPr>
          <w:color w:val="000000" w:themeColor="text1"/>
          <w:sz w:val="22"/>
          <w:szCs w:val="22"/>
        </w:rPr>
        <w:t xml:space="preserve"> and in </w:t>
      </w:r>
      <w:r w:rsidR="00DE1D5F" w:rsidRPr="009A7BAC">
        <w:rPr>
          <w:color w:val="000000" w:themeColor="text1"/>
          <w:sz w:val="22"/>
          <w:szCs w:val="22"/>
        </w:rPr>
        <w:t>subsequent</w:t>
      </w:r>
      <w:r w:rsidR="007E32E0" w:rsidRPr="009A7BAC">
        <w:rPr>
          <w:color w:val="000000" w:themeColor="text1"/>
          <w:sz w:val="22"/>
          <w:szCs w:val="22"/>
        </w:rPr>
        <w:t xml:space="preserve"> years, not</w:t>
      </w:r>
      <w:r w:rsidR="004D5607" w:rsidRPr="009A7BAC">
        <w:rPr>
          <w:color w:val="000000" w:themeColor="text1"/>
          <w:sz w:val="22"/>
          <w:szCs w:val="22"/>
        </w:rPr>
        <w:t>ably</w:t>
      </w:r>
      <w:r w:rsidR="007E32E0" w:rsidRPr="009A7BAC">
        <w:rPr>
          <w:color w:val="000000" w:themeColor="text1"/>
          <w:sz w:val="22"/>
          <w:szCs w:val="22"/>
        </w:rPr>
        <w:t xml:space="preserve"> in the debate about the </w:t>
      </w:r>
      <w:proofErr w:type="gramStart"/>
      <w:r w:rsidR="007E32E0" w:rsidRPr="009A7BAC">
        <w:rPr>
          <w:color w:val="000000" w:themeColor="text1"/>
          <w:sz w:val="22"/>
          <w:szCs w:val="22"/>
        </w:rPr>
        <w:t>newly</w:t>
      </w:r>
      <w:r w:rsidR="004D5607" w:rsidRPr="009A7BAC">
        <w:rPr>
          <w:color w:val="000000" w:themeColor="text1"/>
          <w:sz w:val="22"/>
          <w:szCs w:val="22"/>
        </w:rPr>
        <w:t>-</w:t>
      </w:r>
      <w:r w:rsidR="007E32E0" w:rsidRPr="009A7BAC">
        <w:rPr>
          <w:color w:val="000000" w:themeColor="text1"/>
          <w:sz w:val="22"/>
          <w:szCs w:val="22"/>
        </w:rPr>
        <w:t>developed</w:t>
      </w:r>
      <w:proofErr w:type="gramEnd"/>
      <w:r w:rsidR="007E32E0" w:rsidRPr="009A7BAC">
        <w:rPr>
          <w:color w:val="000000" w:themeColor="text1"/>
          <w:sz w:val="22"/>
          <w:szCs w:val="22"/>
        </w:rPr>
        <w:t xml:space="preserve"> Constitution. That debate is </w:t>
      </w:r>
      <w:bookmarkStart w:id="0" w:name="_Hlk106118431"/>
      <w:r w:rsidR="007E32E0" w:rsidRPr="009A7BAC">
        <w:rPr>
          <w:color w:val="000000" w:themeColor="text1"/>
          <w:sz w:val="22"/>
          <w:szCs w:val="22"/>
        </w:rPr>
        <w:t xml:space="preserve">captured in </w:t>
      </w:r>
      <w:r w:rsidR="007E32E0" w:rsidRPr="009A7BAC">
        <w:rPr>
          <w:i/>
          <w:iCs/>
          <w:color w:val="000000" w:themeColor="text1"/>
          <w:sz w:val="22"/>
          <w:szCs w:val="22"/>
        </w:rPr>
        <w:t>The Federalist Papers</w:t>
      </w:r>
      <w:r w:rsidR="007E32E0" w:rsidRPr="009A7BAC">
        <w:rPr>
          <w:color w:val="000000" w:themeColor="text1"/>
          <w:sz w:val="22"/>
          <w:szCs w:val="22"/>
        </w:rPr>
        <w:t xml:space="preserve"> and </w:t>
      </w:r>
      <w:r w:rsidR="007E32E0" w:rsidRPr="009A7BAC">
        <w:rPr>
          <w:i/>
          <w:iCs/>
          <w:color w:val="000000" w:themeColor="text1"/>
          <w:sz w:val="22"/>
          <w:szCs w:val="22"/>
        </w:rPr>
        <w:t>The Anti-Federalist Papers</w:t>
      </w:r>
      <w:r w:rsidR="00AE4830" w:rsidRPr="009A7BAC">
        <w:rPr>
          <w:color w:val="000000" w:themeColor="text1"/>
          <w:sz w:val="22"/>
          <w:szCs w:val="22"/>
        </w:rPr>
        <w:t>.</w:t>
      </w:r>
    </w:p>
    <w:bookmarkEnd w:id="0"/>
    <w:p w14:paraId="7CA75057" w14:textId="77777777" w:rsidR="00EF4B0A" w:rsidRPr="009A7BAC" w:rsidRDefault="00EF4B0A" w:rsidP="004E3415">
      <w:pPr>
        <w:spacing w:after="0" w:line="240" w:lineRule="auto"/>
        <w:jc w:val="both"/>
        <w:rPr>
          <w:color w:val="000000" w:themeColor="text1"/>
          <w:sz w:val="22"/>
          <w:szCs w:val="22"/>
        </w:rPr>
      </w:pPr>
    </w:p>
    <w:p w14:paraId="2C28B7B3" w14:textId="26BDC8DF" w:rsidR="00EE4290" w:rsidRDefault="00EE4290" w:rsidP="004E3415">
      <w:pPr>
        <w:spacing w:after="0" w:line="240" w:lineRule="auto"/>
        <w:ind w:firstLine="720"/>
        <w:jc w:val="both"/>
        <w:rPr>
          <w:color w:val="000000" w:themeColor="text1"/>
          <w:sz w:val="22"/>
          <w:szCs w:val="22"/>
        </w:rPr>
      </w:pPr>
      <w:bookmarkStart w:id="1" w:name="_Hlk89161305"/>
      <w:r w:rsidRPr="009A7BAC">
        <w:rPr>
          <w:i/>
          <w:iCs/>
          <w:color w:val="000000" w:themeColor="text1"/>
          <w:sz w:val="22"/>
          <w:szCs w:val="22"/>
        </w:rPr>
        <w:t>The Federalist Papers</w:t>
      </w:r>
      <w:r w:rsidRPr="009A7BAC">
        <w:rPr>
          <w:color w:val="000000" w:themeColor="text1"/>
          <w:sz w:val="22"/>
          <w:szCs w:val="22"/>
        </w:rPr>
        <w:t xml:space="preserve"> </w:t>
      </w:r>
      <w:bookmarkEnd w:id="1"/>
      <w:r w:rsidR="007E32E0" w:rsidRPr="009A7BAC">
        <w:rPr>
          <w:color w:val="000000" w:themeColor="text1"/>
          <w:sz w:val="22"/>
          <w:szCs w:val="22"/>
        </w:rPr>
        <w:t>comprise</w:t>
      </w:r>
      <w:r w:rsidRPr="009A7BAC">
        <w:rPr>
          <w:color w:val="000000" w:themeColor="text1"/>
          <w:sz w:val="22"/>
          <w:szCs w:val="22"/>
        </w:rPr>
        <w:t xml:space="preserve"> articles written by Founding Fathers James Madison, Alexander </w:t>
      </w:r>
      <w:proofErr w:type="gramStart"/>
      <w:r w:rsidRPr="009A7BAC">
        <w:rPr>
          <w:color w:val="000000" w:themeColor="text1"/>
          <w:sz w:val="22"/>
          <w:szCs w:val="22"/>
        </w:rPr>
        <w:t>Hamilton</w:t>
      </w:r>
      <w:proofErr w:type="gramEnd"/>
      <w:r w:rsidRPr="009A7BAC">
        <w:rPr>
          <w:color w:val="000000" w:themeColor="text1"/>
          <w:sz w:val="22"/>
          <w:szCs w:val="22"/>
        </w:rPr>
        <w:t xml:space="preserve"> and John Jay, </w:t>
      </w:r>
      <w:r w:rsidR="00AE4830" w:rsidRPr="009A7BAC">
        <w:rPr>
          <w:color w:val="000000" w:themeColor="text1"/>
          <w:sz w:val="22"/>
          <w:szCs w:val="22"/>
        </w:rPr>
        <w:t>aimed at</w:t>
      </w:r>
      <w:r w:rsidRPr="009A7BAC">
        <w:rPr>
          <w:color w:val="000000" w:themeColor="text1"/>
          <w:sz w:val="22"/>
          <w:szCs w:val="22"/>
        </w:rPr>
        <w:t xml:space="preserve"> promot</w:t>
      </w:r>
      <w:r w:rsidR="00AE4830" w:rsidRPr="009A7BAC">
        <w:rPr>
          <w:color w:val="000000" w:themeColor="text1"/>
          <w:sz w:val="22"/>
          <w:szCs w:val="22"/>
        </w:rPr>
        <w:t>ing</w:t>
      </w:r>
      <w:r w:rsidRPr="009A7BAC">
        <w:rPr>
          <w:color w:val="000000" w:themeColor="text1"/>
          <w:sz w:val="22"/>
          <w:szCs w:val="22"/>
        </w:rPr>
        <w:t xml:space="preserve"> acceptance of the </w:t>
      </w:r>
      <w:r w:rsidR="00722239" w:rsidRPr="009A7BAC">
        <w:rPr>
          <w:color w:val="000000" w:themeColor="text1"/>
          <w:sz w:val="22"/>
          <w:szCs w:val="22"/>
        </w:rPr>
        <w:t xml:space="preserve">new </w:t>
      </w:r>
      <w:r w:rsidRPr="009A7BAC">
        <w:rPr>
          <w:color w:val="000000" w:themeColor="text1"/>
          <w:sz w:val="22"/>
          <w:szCs w:val="22"/>
        </w:rPr>
        <w:t>Constitution</w:t>
      </w:r>
      <w:r w:rsidR="00722239" w:rsidRPr="009A7BAC">
        <w:rPr>
          <w:color w:val="000000" w:themeColor="text1"/>
          <w:sz w:val="22"/>
          <w:szCs w:val="22"/>
        </w:rPr>
        <w:t>,</w:t>
      </w:r>
      <w:r w:rsidRPr="009A7BAC">
        <w:rPr>
          <w:color w:val="000000" w:themeColor="text1"/>
          <w:sz w:val="22"/>
          <w:szCs w:val="22"/>
        </w:rPr>
        <w:t xml:space="preserve"> and explain</w:t>
      </w:r>
      <w:r w:rsidR="00AE4830" w:rsidRPr="009A7BAC">
        <w:rPr>
          <w:color w:val="000000" w:themeColor="text1"/>
          <w:sz w:val="22"/>
          <w:szCs w:val="22"/>
        </w:rPr>
        <w:t>ing</w:t>
      </w:r>
      <w:r w:rsidRPr="009A7BAC">
        <w:rPr>
          <w:color w:val="000000" w:themeColor="text1"/>
          <w:sz w:val="22"/>
          <w:szCs w:val="22"/>
        </w:rPr>
        <w:t xml:space="preserve"> and justify</w:t>
      </w:r>
      <w:r w:rsidR="00AE4830" w:rsidRPr="009A7BAC">
        <w:rPr>
          <w:color w:val="000000" w:themeColor="text1"/>
          <w:sz w:val="22"/>
          <w:szCs w:val="22"/>
        </w:rPr>
        <w:t>ing</w:t>
      </w:r>
      <w:r w:rsidRPr="009A7BAC">
        <w:rPr>
          <w:color w:val="000000" w:themeColor="text1"/>
          <w:sz w:val="22"/>
          <w:szCs w:val="22"/>
        </w:rPr>
        <w:t xml:space="preserve"> the political principles it embodied. Key – and highly controversial – issues were the separation of powers between the judiciary, the legislature and the executive, and the concept of federalism.</w:t>
      </w:r>
      <w:r w:rsidR="009A61EB" w:rsidRPr="009A7BAC">
        <w:rPr>
          <w:color w:val="000000" w:themeColor="text1"/>
          <w:sz w:val="22"/>
          <w:szCs w:val="22"/>
        </w:rPr>
        <w:t xml:space="preserve"> </w:t>
      </w:r>
      <w:r w:rsidR="00722239" w:rsidRPr="009A7BAC">
        <w:rPr>
          <w:color w:val="000000" w:themeColor="text1"/>
          <w:sz w:val="22"/>
          <w:szCs w:val="22"/>
        </w:rPr>
        <w:t>N</w:t>
      </w:r>
      <w:r w:rsidR="009A61EB" w:rsidRPr="009A7BAC">
        <w:rPr>
          <w:color w:val="000000" w:themeColor="text1"/>
          <w:sz w:val="22"/>
          <w:szCs w:val="22"/>
        </w:rPr>
        <w:t>umbers 30 to 36</w:t>
      </w:r>
      <w:r w:rsidR="00722239" w:rsidRPr="009A7BAC">
        <w:rPr>
          <w:color w:val="000000" w:themeColor="text1"/>
          <w:sz w:val="22"/>
          <w:szCs w:val="22"/>
        </w:rPr>
        <w:t xml:space="preserve"> of</w:t>
      </w:r>
      <w:r w:rsidR="00722239" w:rsidRPr="009A7BAC">
        <w:rPr>
          <w:i/>
          <w:iCs/>
          <w:color w:val="000000" w:themeColor="text1"/>
          <w:sz w:val="22"/>
          <w:szCs w:val="22"/>
        </w:rPr>
        <w:t xml:space="preserve"> The Federalist Papers</w:t>
      </w:r>
      <w:r w:rsidR="009A61EB" w:rsidRPr="009A7BAC">
        <w:rPr>
          <w:color w:val="000000" w:themeColor="text1"/>
          <w:sz w:val="22"/>
          <w:szCs w:val="22"/>
        </w:rPr>
        <w:t>,</w:t>
      </w:r>
      <w:r w:rsidR="00BA37A1">
        <w:rPr>
          <w:color w:val="000000" w:themeColor="text1"/>
          <w:sz w:val="22"/>
          <w:szCs w:val="22"/>
        </w:rPr>
        <w:t xml:space="preserve"> written by</w:t>
      </w:r>
      <w:r w:rsidR="009A61EB" w:rsidRPr="009A7BAC">
        <w:rPr>
          <w:color w:val="000000" w:themeColor="text1"/>
          <w:sz w:val="22"/>
          <w:szCs w:val="22"/>
        </w:rPr>
        <w:t xml:space="preserve"> Hamilton, concern taxation. </w:t>
      </w:r>
      <w:r w:rsidR="004D5607" w:rsidRPr="009A7BAC">
        <w:rPr>
          <w:color w:val="000000" w:themeColor="text1"/>
          <w:sz w:val="22"/>
          <w:szCs w:val="22"/>
        </w:rPr>
        <w:t>Although not opposed to individual state taxation</w:t>
      </w:r>
      <w:r w:rsidR="009A61EB" w:rsidRPr="009A7BAC">
        <w:rPr>
          <w:color w:val="000000" w:themeColor="text1"/>
          <w:sz w:val="22"/>
          <w:szCs w:val="22"/>
        </w:rPr>
        <w:t xml:space="preserve">, Hamilton aimed to persuade readers that </w:t>
      </w:r>
      <w:r w:rsidR="004D5607" w:rsidRPr="009A7BAC">
        <w:rPr>
          <w:color w:val="000000" w:themeColor="text1"/>
          <w:sz w:val="22"/>
          <w:szCs w:val="22"/>
        </w:rPr>
        <w:t xml:space="preserve">federal </w:t>
      </w:r>
      <w:r w:rsidR="00AE4830" w:rsidRPr="009A7BAC">
        <w:rPr>
          <w:color w:val="000000" w:themeColor="text1"/>
          <w:sz w:val="22"/>
          <w:szCs w:val="22"/>
        </w:rPr>
        <w:t>taxation was</w:t>
      </w:r>
      <w:r w:rsidR="00722239" w:rsidRPr="009A7BAC">
        <w:rPr>
          <w:color w:val="000000" w:themeColor="text1"/>
          <w:sz w:val="22"/>
          <w:szCs w:val="22"/>
        </w:rPr>
        <w:t xml:space="preserve"> required </w:t>
      </w:r>
      <w:r w:rsidR="009A61EB" w:rsidRPr="009A7BAC">
        <w:rPr>
          <w:color w:val="000000" w:themeColor="text1"/>
          <w:sz w:val="22"/>
          <w:szCs w:val="22"/>
        </w:rPr>
        <w:t>to provide public necessities</w:t>
      </w:r>
      <w:r w:rsidR="004D5607" w:rsidRPr="009A7BAC">
        <w:rPr>
          <w:color w:val="000000" w:themeColor="text1"/>
          <w:sz w:val="22"/>
          <w:szCs w:val="22"/>
        </w:rPr>
        <w:t>.</w:t>
      </w:r>
      <w:r w:rsidR="009A61EB" w:rsidRPr="009A7BAC">
        <w:rPr>
          <w:color w:val="000000" w:themeColor="text1"/>
          <w:sz w:val="22"/>
          <w:szCs w:val="22"/>
        </w:rPr>
        <w:t xml:space="preserve"> </w:t>
      </w:r>
      <w:r w:rsidR="00424F59" w:rsidRPr="009A7BAC">
        <w:rPr>
          <w:color w:val="000000" w:themeColor="text1"/>
          <w:sz w:val="22"/>
          <w:szCs w:val="22"/>
        </w:rPr>
        <w:t>P</w:t>
      </w:r>
      <w:r w:rsidR="009A61EB" w:rsidRPr="009A7BAC">
        <w:rPr>
          <w:color w:val="000000" w:themeColor="text1"/>
          <w:sz w:val="22"/>
          <w:szCs w:val="22"/>
        </w:rPr>
        <w:t xml:space="preserve">articularly </w:t>
      </w:r>
      <w:r w:rsidR="00424F59" w:rsidRPr="009A7BAC">
        <w:rPr>
          <w:color w:val="000000" w:themeColor="text1"/>
          <w:sz w:val="22"/>
          <w:szCs w:val="22"/>
        </w:rPr>
        <w:t>contentious</w:t>
      </w:r>
      <w:r w:rsidR="009A61EB" w:rsidRPr="009A7BAC">
        <w:rPr>
          <w:color w:val="000000" w:themeColor="text1"/>
          <w:sz w:val="22"/>
          <w:szCs w:val="22"/>
        </w:rPr>
        <w:t xml:space="preserve"> was the relationship between state tax law and any federal imposition and their respective standing.</w:t>
      </w:r>
    </w:p>
    <w:p w14:paraId="038CA4AB" w14:textId="77777777" w:rsidR="00EF4B0A" w:rsidRPr="009A7BAC" w:rsidRDefault="00EF4B0A" w:rsidP="00EF4B0A">
      <w:pPr>
        <w:spacing w:after="0" w:line="240" w:lineRule="auto"/>
        <w:jc w:val="both"/>
        <w:rPr>
          <w:color w:val="000000" w:themeColor="text1"/>
          <w:sz w:val="22"/>
          <w:szCs w:val="22"/>
        </w:rPr>
      </w:pPr>
    </w:p>
    <w:p w14:paraId="592AFC00" w14:textId="4595E99F" w:rsidR="009A61EB" w:rsidRDefault="009A61EB" w:rsidP="004E3415">
      <w:pPr>
        <w:autoSpaceDE w:val="0"/>
        <w:autoSpaceDN w:val="0"/>
        <w:adjustRightInd w:val="0"/>
        <w:spacing w:after="0" w:line="240" w:lineRule="auto"/>
        <w:ind w:right="-22" w:firstLine="720"/>
        <w:jc w:val="both"/>
        <w:rPr>
          <w:color w:val="000000" w:themeColor="text1"/>
          <w:sz w:val="22"/>
          <w:szCs w:val="22"/>
        </w:rPr>
      </w:pPr>
      <w:r w:rsidRPr="009A7BAC">
        <w:rPr>
          <w:color w:val="000000" w:themeColor="text1"/>
          <w:sz w:val="22"/>
          <w:szCs w:val="22"/>
        </w:rPr>
        <w:t xml:space="preserve">The views of the Federalists were countered </w:t>
      </w:r>
      <w:r w:rsidR="00AE4830" w:rsidRPr="009A7BAC">
        <w:rPr>
          <w:color w:val="000000" w:themeColor="text1"/>
          <w:sz w:val="22"/>
          <w:szCs w:val="22"/>
        </w:rPr>
        <w:t xml:space="preserve">by </w:t>
      </w:r>
      <w:bookmarkStart w:id="2" w:name="_Hlk84685365"/>
      <w:bookmarkStart w:id="3" w:name="_Hlk84684912"/>
      <w:r w:rsidR="00424F59" w:rsidRPr="009A7BAC">
        <w:rPr>
          <w:i/>
          <w:iCs/>
          <w:color w:val="000000" w:themeColor="text1"/>
          <w:sz w:val="22"/>
          <w:szCs w:val="22"/>
        </w:rPr>
        <w:t>The Anti-Federalist Papers</w:t>
      </w:r>
      <w:bookmarkEnd w:id="2"/>
      <w:bookmarkEnd w:id="3"/>
      <w:r w:rsidR="00424F59" w:rsidRPr="009A7BAC">
        <w:rPr>
          <w:color w:val="000000" w:themeColor="text1"/>
          <w:sz w:val="22"/>
          <w:szCs w:val="22"/>
        </w:rPr>
        <w:t>. T</w:t>
      </w:r>
      <w:r w:rsidRPr="009A7BAC">
        <w:rPr>
          <w:color w:val="000000" w:themeColor="text1"/>
          <w:sz w:val="22"/>
          <w:szCs w:val="22"/>
        </w:rPr>
        <w:t xml:space="preserve">he Anti-Federalists opposed ratification of the Constitution, </w:t>
      </w:r>
      <w:r w:rsidR="00424F59" w:rsidRPr="009A7BAC">
        <w:rPr>
          <w:color w:val="000000" w:themeColor="text1"/>
          <w:sz w:val="22"/>
          <w:szCs w:val="22"/>
        </w:rPr>
        <w:t xml:space="preserve">though </w:t>
      </w:r>
      <w:r w:rsidRPr="009A7BAC">
        <w:rPr>
          <w:color w:val="000000" w:themeColor="text1"/>
          <w:sz w:val="22"/>
          <w:szCs w:val="22"/>
        </w:rPr>
        <w:t>they too favoured federalism</w:t>
      </w:r>
      <w:r w:rsidR="00424F59" w:rsidRPr="009A7BAC">
        <w:rPr>
          <w:color w:val="000000" w:themeColor="text1"/>
          <w:sz w:val="22"/>
          <w:szCs w:val="22"/>
        </w:rPr>
        <w:t>: they</w:t>
      </w:r>
      <w:r w:rsidRPr="009A7BAC">
        <w:rPr>
          <w:color w:val="000000" w:themeColor="text1"/>
          <w:sz w:val="22"/>
          <w:szCs w:val="22"/>
        </w:rPr>
        <w:t xml:space="preserve"> wanted a ‘small republic’ (a weak central government), as opposed to a ‘big republic’, fearing that a national government would be too powerful and threat</w:t>
      </w:r>
      <w:r w:rsidR="00424F59" w:rsidRPr="009A7BAC">
        <w:rPr>
          <w:color w:val="000000" w:themeColor="text1"/>
          <w:sz w:val="22"/>
          <w:szCs w:val="22"/>
        </w:rPr>
        <w:t>en</w:t>
      </w:r>
      <w:r w:rsidRPr="009A7BAC">
        <w:rPr>
          <w:color w:val="000000" w:themeColor="text1"/>
          <w:sz w:val="22"/>
          <w:szCs w:val="22"/>
        </w:rPr>
        <w:t xml:space="preserve"> individual liberties</w:t>
      </w:r>
      <w:r w:rsidR="00505CE8" w:rsidRPr="009A7BAC">
        <w:rPr>
          <w:color w:val="000000" w:themeColor="text1"/>
          <w:sz w:val="22"/>
          <w:szCs w:val="22"/>
        </w:rPr>
        <w:t xml:space="preserve"> and state government</w:t>
      </w:r>
      <w:r w:rsidRPr="009A7BAC">
        <w:rPr>
          <w:color w:val="000000" w:themeColor="text1"/>
          <w:sz w:val="22"/>
          <w:szCs w:val="22"/>
        </w:rPr>
        <w:t xml:space="preserve">. </w:t>
      </w:r>
      <w:r w:rsidRPr="009A7BAC">
        <w:rPr>
          <w:i/>
          <w:iCs/>
          <w:color w:val="000000" w:themeColor="text1"/>
          <w:sz w:val="22"/>
          <w:szCs w:val="22"/>
        </w:rPr>
        <w:t>The Anti-Federalist Papers</w:t>
      </w:r>
      <w:r w:rsidRPr="009A7BAC">
        <w:rPr>
          <w:color w:val="000000" w:themeColor="text1"/>
          <w:sz w:val="22"/>
          <w:szCs w:val="22"/>
        </w:rPr>
        <w:t xml:space="preserve"> are liberally peppered with detailed arguments about taxation, with numbers 30 to 36 being devoted entirely to tax. </w:t>
      </w:r>
      <w:r w:rsidR="00DE1D5F" w:rsidRPr="009A7BAC">
        <w:rPr>
          <w:color w:val="000000" w:themeColor="text1"/>
          <w:sz w:val="22"/>
          <w:szCs w:val="22"/>
        </w:rPr>
        <w:t>Of</w:t>
      </w:r>
      <w:r w:rsidRPr="009A7BAC">
        <w:rPr>
          <w:color w:val="000000" w:themeColor="text1"/>
          <w:sz w:val="22"/>
          <w:szCs w:val="22"/>
        </w:rPr>
        <w:t xml:space="preserve"> concern was the federal power to tax, which they wanted limited to taxing </w:t>
      </w:r>
      <w:r w:rsidR="001D555E" w:rsidRPr="009A7BAC">
        <w:rPr>
          <w:color w:val="000000" w:themeColor="text1"/>
          <w:sz w:val="22"/>
          <w:szCs w:val="22"/>
        </w:rPr>
        <w:t xml:space="preserve">overseas </w:t>
      </w:r>
      <w:r w:rsidRPr="009A7BAC">
        <w:rPr>
          <w:color w:val="000000" w:themeColor="text1"/>
          <w:sz w:val="22"/>
          <w:szCs w:val="22"/>
        </w:rPr>
        <w:t>imports</w:t>
      </w:r>
      <w:r w:rsidR="00505CE8" w:rsidRPr="009A7BAC">
        <w:rPr>
          <w:color w:val="000000" w:themeColor="text1"/>
          <w:sz w:val="22"/>
          <w:szCs w:val="22"/>
        </w:rPr>
        <w:t>.</w:t>
      </w:r>
    </w:p>
    <w:p w14:paraId="233046C4" w14:textId="77777777" w:rsidR="00EF4B0A" w:rsidRPr="009A7BAC" w:rsidRDefault="00EF4B0A" w:rsidP="00EF4B0A">
      <w:pPr>
        <w:autoSpaceDE w:val="0"/>
        <w:autoSpaceDN w:val="0"/>
        <w:adjustRightInd w:val="0"/>
        <w:spacing w:after="0" w:line="240" w:lineRule="auto"/>
        <w:ind w:right="-22"/>
        <w:jc w:val="both"/>
        <w:rPr>
          <w:color w:val="000000" w:themeColor="text1"/>
          <w:sz w:val="22"/>
          <w:szCs w:val="22"/>
        </w:rPr>
      </w:pPr>
    </w:p>
    <w:p w14:paraId="3B6764D7" w14:textId="1E2D2437" w:rsidR="00505CE8" w:rsidRDefault="00505CE8" w:rsidP="004E3415">
      <w:pPr>
        <w:autoSpaceDE w:val="0"/>
        <w:autoSpaceDN w:val="0"/>
        <w:adjustRightInd w:val="0"/>
        <w:spacing w:after="0" w:line="240" w:lineRule="auto"/>
        <w:ind w:right="-22" w:firstLine="720"/>
        <w:jc w:val="both"/>
        <w:rPr>
          <w:color w:val="000000" w:themeColor="text1"/>
          <w:sz w:val="22"/>
          <w:szCs w:val="22"/>
        </w:rPr>
      </w:pPr>
      <w:r w:rsidRPr="009A7BAC">
        <w:rPr>
          <w:sz w:val="22"/>
          <w:szCs w:val="22"/>
        </w:rPr>
        <w:t xml:space="preserve">In this paper, we will examine the background to </w:t>
      </w:r>
      <w:r w:rsidRPr="009A7BAC">
        <w:rPr>
          <w:i/>
          <w:iCs/>
          <w:color w:val="000000" w:themeColor="text1"/>
          <w:sz w:val="22"/>
          <w:szCs w:val="22"/>
        </w:rPr>
        <w:t>The Federalist</w:t>
      </w:r>
      <w:r w:rsidRPr="009A7BAC">
        <w:rPr>
          <w:color w:val="000000" w:themeColor="text1"/>
          <w:sz w:val="22"/>
          <w:szCs w:val="22"/>
        </w:rPr>
        <w:t xml:space="preserve"> and </w:t>
      </w:r>
      <w:r w:rsidRPr="009A7BAC">
        <w:rPr>
          <w:i/>
          <w:iCs/>
          <w:color w:val="000000" w:themeColor="text1"/>
          <w:sz w:val="22"/>
          <w:szCs w:val="22"/>
        </w:rPr>
        <w:t>Anti-Federalist Papers</w:t>
      </w:r>
      <w:r w:rsidRPr="009A7BAC">
        <w:rPr>
          <w:color w:val="000000" w:themeColor="text1"/>
          <w:sz w:val="22"/>
          <w:szCs w:val="22"/>
        </w:rPr>
        <w:t xml:space="preserve"> in terms of the philosophical ideas </w:t>
      </w:r>
      <w:r w:rsidR="00BC060E" w:rsidRPr="009A7BAC">
        <w:rPr>
          <w:color w:val="000000" w:themeColor="text1"/>
          <w:sz w:val="22"/>
          <w:szCs w:val="22"/>
        </w:rPr>
        <w:t>(</w:t>
      </w:r>
      <w:r w:rsidR="009E735E" w:rsidRPr="009A7BAC">
        <w:rPr>
          <w:color w:val="000000" w:themeColor="text1"/>
          <w:sz w:val="22"/>
          <w:szCs w:val="22"/>
        </w:rPr>
        <w:t>e.g.,</w:t>
      </w:r>
      <w:r w:rsidR="00BC060E" w:rsidRPr="009A7BAC">
        <w:rPr>
          <w:color w:val="000000" w:themeColor="text1"/>
          <w:sz w:val="22"/>
          <w:szCs w:val="22"/>
        </w:rPr>
        <w:t xml:space="preserve"> Locke, Hume, Montesquieu, Paine) </w:t>
      </w:r>
      <w:r w:rsidR="00B81B06" w:rsidRPr="009A7BAC">
        <w:rPr>
          <w:color w:val="000000" w:themeColor="text1"/>
          <w:sz w:val="22"/>
          <w:szCs w:val="22"/>
        </w:rPr>
        <w:t xml:space="preserve">about tax </w:t>
      </w:r>
      <w:r w:rsidRPr="009A7BAC">
        <w:rPr>
          <w:color w:val="000000" w:themeColor="text1"/>
          <w:sz w:val="22"/>
          <w:szCs w:val="22"/>
        </w:rPr>
        <w:t xml:space="preserve">leading to the War, the taxes imposed during </w:t>
      </w:r>
      <w:r w:rsidR="00B81B06" w:rsidRPr="009A7BAC">
        <w:rPr>
          <w:color w:val="000000" w:themeColor="text1"/>
          <w:sz w:val="22"/>
          <w:szCs w:val="22"/>
        </w:rPr>
        <w:t xml:space="preserve">and after </w:t>
      </w:r>
      <w:r w:rsidRPr="009A7BAC">
        <w:rPr>
          <w:color w:val="000000" w:themeColor="text1"/>
          <w:sz w:val="22"/>
          <w:szCs w:val="22"/>
        </w:rPr>
        <w:t xml:space="preserve">the War and influences on </w:t>
      </w:r>
      <w:r w:rsidR="00B81B06" w:rsidRPr="009A7BAC">
        <w:rPr>
          <w:color w:val="000000" w:themeColor="text1"/>
          <w:sz w:val="22"/>
          <w:szCs w:val="22"/>
        </w:rPr>
        <w:t xml:space="preserve">tax </w:t>
      </w:r>
      <w:proofErr w:type="gramStart"/>
      <w:r w:rsidR="00B81B06" w:rsidRPr="009A7BAC">
        <w:rPr>
          <w:color w:val="000000" w:themeColor="text1"/>
          <w:sz w:val="22"/>
          <w:szCs w:val="22"/>
        </w:rPr>
        <w:t>policy-making</w:t>
      </w:r>
      <w:proofErr w:type="gramEnd"/>
      <w:r w:rsidR="00B81B06" w:rsidRPr="009A7BAC">
        <w:rPr>
          <w:color w:val="000000" w:themeColor="text1"/>
          <w:sz w:val="22"/>
          <w:szCs w:val="22"/>
        </w:rPr>
        <w:t>.</w:t>
      </w:r>
    </w:p>
    <w:p w14:paraId="44D30AC7" w14:textId="12EC97A6" w:rsidR="009A7BAC" w:rsidRDefault="009A7BAC" w:rsidP="004E3415">
      <w:pPr>
        <w:autoSpaceDE w:val="0"/>
        <w:autoSpaceDN w:val="0"/>
        <w:adjustRightInd w:val="0"/>
        <w:spacing w:after="0" w:line="240" w:lineRule="auto"/>
        <w:ind w:right="-22"/>
        <w:jc w:val="both"/>
        <w:rPr>
          <w:color w:val="000000" w:themeColor="text1"/>
        </w:rPr>
      </w:pPr>
    </w:p>
    <w:p w14:paraId="19827EBE" w14:textId="57E7A99D" w:rsidR="009A7BAC" w:rsidRDefault="009A7BAC" w:rsidP="009A7BAC">
      <w:pPr>
        <w:autoSpaceDE w:val="0"/>
        <w:autoSpaceDN w:val="0"/>
        <w:adjustRightInd w:val="0"/>
        <w:spacing w:after="0" w:line="240" w:lineRule="auto"/>
        <w:ind w:right="-22"/>
        <w:jc w:val="both"/>
        <w:rPr>
          <w:color w:val="000000" w:themeColor="text1"/>
        </w:rPr>
      </w:pPr>
    </w:p>
    <w:p w14:paraId="6D62CF9D" w14:textId="77777777" w:rsidR="00820EDD" w:rsidRDefault="00820EDD" w:rsidP="009A7BAC">
      <w:pPr>
        <w:autoSpaceDE w:val="0"/>
        <w:autoSpaceDN w:val="0"/>
        <w:adjustRightInd w:val="0"/>
        <w:spacing w:after="0" w:line="240" w:lineRule="auto"/>
        <w:ind w:right="-22"/>
        <w:jc w:val="both"/>
        <w:rPr>
          <w:color w:val="000000" w:themeColor="text1"/>
        </w:rPr>
      </w:pPr>
    </w:p>
    <w:p w14:paraId="78D54A9D" w14:textId="77BE9901" w:rsidR="009A7BAC" w:rsidRDefault="008C3960" w:rsidP="008C3960">
      <w:pPr>
        <w:autoSpaceDE w:val="0"/>
        <w:autoSpaceDN w:val="0"/>
        <w:adjustRightInd w:val="0"/>
        <w:spacing w:after="0" w:line="240" w:lineRule="auto"/>
        <w:ind w:right="-22"/>
        <w:jc w:val="center"/>
        <w:rPr>
          <w:color w:val="000000" w:themeColor="text1"/>
        </w:rPr>
      </w:pPr>
      <w:r>
        <w:rPr>
          <w:color w:val="000000" w:themeColor="text1"/>
        </w:rPr>
        <w:t>INTRODUCTION</w:t>
      </w:r>
    </w:p>
    <w:p w14:paraId="4277202F" w14:textId="133B7239" w:rsidR="008C3960" w:rsidRDefault="008C3960" w:rsidP="009A7BAC">
      <w:pPr>
        <w:autoSpaceDE w:val="0"/>
        <w:autoSpaceDN w:val="0"/>
        <w:adjustRightInd w:val="0"/>
        <w:spacing w:after="0" w:line="240" w:lineRule="auto"/>
        <w:ind w:right="-22"/>
        <w:jc w:val="both"/>
        <w:rPr>
          <w:color w:val="000000" w:themeColor="text1"/>
        </w:rPr>
      </w:pPr>
    </w:p>
    <w:p w14:paraId="1D5FD8F8" w14:textId="53BFF0C9" w:rsidR="00EF4B0A" w:rsidRPr="004C16B1" w:rsidRDefault="00EF4B0A" w:rsidP="00EF4B0A">
      <w:pPr>
        <w:spacing w:after="0" w:line="240" w:lineRule="auto"/>
        <w:jc w:val="both"/>
        <w:rPr>
          <w:color w:val="000000" w:themeColor="text1"/>
        </w:rPr>
      </w:pPr>
      <w:r w:rsidRPr="004C16B1">
        <w:rPr>
          <w:color w:val="000000" w:themeColor="text1"/>
        </w:rPr>
        <w:t xml:space="preserve">The purpose of this paper is to examine the role of taxation in the </w:t>
      </w:r>
      <w:r w:rsidR="006D640A" w:rsidRPr="004C16B1">
        <w:rPr>
          <w:color w:val="000000" w:themeColor="text1"/>
        </w:rPr>
        <w:t xml:space="preserve">drafting of the </w:t>
      </w:r>
      <w:r w:rsidRPr="004C16B1">
        <w:rPr>
          <w:color w:val="000000" w:themeColor="text1"/>
        </w:rPr>
        <w:t xml:space="preserve">Constitution of the USA, and the philosophical influences on the thinking of the Founding Fathers who </w:t>
      </w:r>
      <w:r w:rsidR="006D640A" w:rsidRPr="004C16B1">
        <w:rPr>
          <w:color w:val="000000" w:themeColor="text1"/>
        </w:rPr>
        <w:t>developed</w:t>
      </w:r>
      <w:r w:rsidRPr="004C16B1">
        <w:rPr>
          <w:color w:val="000000" w:themeColor="text1"/>
        </w:rPr>
        <w:t xml:space="preserve"> that Constitution, which are reflected in </w:t>
      </w:r>
      <w:r w:rsidRPr="004C16B1">
        <w:rPr>
          <w:i/>
          <w:iCs/>
          <w:color w:val="000000" w:themeColor="text1"/>
        </w:rPr>
        <w:t>The Federalist Papers</w:t>
      </w:r>
      <w:r w:rsidRPr="004C16B1">
        <w:rPr>
          <w:color w:val="000000" w:themeColor="text1"/>
        </w:rPr>
        <w:t xml:space="preserve"> and </w:t>
      </w:r>
      <w:r w:rsidRPr="004C16B1">
        <w:rPr>
          <w:i/>
          <w:iCs/>
          <w:color w:val="000000" w:themeColor="text1"/>
        </w:rPr>
        <w:t>The Anti-Federalist Papers</w:t>
      </w:r>
      <w:r w:rsidRPr="004C16B1">
        <w:rPr>
          <w:color w:val="000000" w:themeColor="text1"/>
        </w:rPr>
        <w:t>,</w:t>
      </w:r>
      <w:r w:rsidR="001A0CBA">
        <w:rPr>
          <w:rStyle w:val="FootnoteReference"/>
          <w:color w:val="000000" w:themeColor="text1"/>
        </w:rPr>
        <w:footnoteReference w:id="1"/>
      </w:r>
      <w:r w:rsidRPr="004C16B1">
        <w:rPr>
          <w:color w:val="000000" w:themeColor="text1"/>
        </w:rPr>
        <w:t xml:space="preserve"> as noted above. However, that cannot be done without examining the lead-up to the War of Independence </w:t>
      </w:r>
      <w:r w:rsidR="00721D98">
        <w:rPr>
          <w:color w:val="000000" w:themeColor="text1"/>
        </w:rPr>
        <w:t xml:space="preserve">(1775–83) </w:t>
      </w:r>
      <w:r w:rsidR="00BA37A1">
        <w:rPr>
          <w:color w:val="000000" w:themeColor="text1"/>
        </w:rPr>
        <w:t xml:space="preserve">(henceforth, the War) </w:t>
      </w:r>
      <w:r w:rsidRPr="004C16B1">
        <w:rPr>
          <w:color w:val="000000" w:themeColor="text1"/>
        </w:rPr>
        <w:t>in terms of taxation</w:t>
      </w:r>
      <w:r w:rsidR="006D640A" w:rsidRPr="004C16B1">
        <w:rPr>
          <w:color w:val="000000" w:themeColor="text1"/>
        </w:rPr>
        <w:t xml:space="preserve"> and</w:t>
      </w:r>
      <w:r w:rsidRPr="004C16B1">
        <w:rPr>
          <w:color w:val="000000" w:themeColor="text1"/>
        </w:rPr>
        <w:t xml:space="preserve"> what happened </w:t>
      </w:r>
      <w:r w:rsidR="00721D98">
        <w:rPr>
          <w:color w:val="000000" w:themeColor="text1"/>
        </w:rPr>
        <w:t>as regards</w:t>
      </w:r>
      <w:r w:rsidRPr="004C16B1">
        <w:rPr>
          <w:color w:val="000000" w:themeColor="text1"/>
        </w:rPr>
        <w:t xml:space="preserve"> tax during the War</w:t>
      </w:r>
      <w:r w:rsidR="006D640A" w:rsidRPr="004C16B1">
        <w:rPr>
          <w:color w:val="000000" w:themeColor="text1"/>
        </w:rPr>
        <w:t>. This paper is therefore structured as follows. It briefly examines first the background to the War</w:t>
      </w:r>
      <w:r w:rsidR="00820EDD" w:rsidRPr="004C16B1">
        <w:rPr>
          <w:color w:val="000000" w:themeColor="text1"/>
        </w:rPr>
        <w:t>. I</w:t>
      </w:r>
      <w:r w:rsidR="006D640A" w:rsidRPr="004C16B1">
        <w:rPr>
          <w:color w:val="000000" w:themeColor="text1"/>
        </w:rPr>
        <w:t xml:space="preserve">t then goes on to consider the colonial taxes that were in place prior to the conflict, followed by looking at how the </w:t>
      </w:r>
      <w:r w:rsidR="00BA37A1">
        <w:rPr>
          <w:color w:val="000000" w:themeColor="text1"/>
        </w:rPr>
        <w:t>W</w:t>
      </w:r>
      <w:r w:rsidR="006D640A" w:rsidRPr="004C16B1">
        <w:rPr>
          <w:color w:val="000000" w:themeColor="text1"/>
        </w:rPr>
        <w:t xml:space="preserve">ar was financed, and the </w:t>
      </w:r>
      <w:r w:rsidR="006D640A" w:rsidRPr="004C16B1">
        <w:rPr>
          <w:color w:val="000000" w:themeColor="text1"/>
        </w:rPr>
        <w:lastRenderedPageBreak/>
        <w:t>problems arising</w:t>
      </w:r>
      <w:r w:rsidR="00820EDD" w:rsidRPr="004C16B1">
        <w:rPr>
          <w:color w:val="000000" w:themeColor="text1"/>
        </w:rPr>
        <w:t>. It then examines the influences on political and tax thinking, with consequent examination of the thinkers and writers whose theories of taxation would have had influence on the drafting</w:t>
      </w:r>
      <w:r w:rsidR="00721D98">
        <w:rPr>
          <w:color w:val="000000" w:themeColor="text1"/>
        </w:rPr>
        <w:t xml:space="preserve"> of the Constitution</w:t>
      </w:r>
      <w:r w:rsidR="00820EDD" w:rsidRPr="004C16B1">
        <w:rPr>
          <w:color w:val="000000" w:themeColor="text1"/>
        </w:rPr>
        <w:t>. The final sections consider the debate about the Constitution and offer our conclusions.</w:t>
      </w:r>
    </w:p>
    <w:p w14:paraId="44B58098" w14:textId="02C3A33D" w:rsidR="008C3960" w:rsidRPr="004C16B1" w:rsidRDefault="008C3960" w:rsidP="009A7BAC">
      <w:pPr>
        <w:autoSpaceDE w:val="0"/>
        <w:autoSpaceDN w:val="0"/>
        <w:adjustRightInd w:val="0"/>
        <w:spacing w:after="0" w:line="240" w:lineRule="auto"/>
        <w:ind w:right="-22"/>
        <w:jc w:val="both"/>
        <w:rPr>
          <w:color w:val="000000" w:themeColor="text1"/>
        </w:rPr>
      </w:pPr>
    </w:p>
    <w:p w14:paraId="265A0F89" w14:textId="77777777" w:rsidR="00820EDD" w:rsidRPr="004C16B1" w:rsidRDefault="00820EDD" w:rsidP="009A7BAC">
      <w:pPr>
        <w:autoSpaceDE w:val="0"/>
        <w:autoSpaceDN w:val="0"/>
        <w:adjustRightInd w:val="0"/>
        <w:spacing w:after="0" w:line="240" w:lineRule="auto"/>
        <w:ind w:right="-22"/>
        <w:jc w:val="both"/>
        <w:rPr>
          <w:color w:val="000000" w:themeColor="text1"/>
        </w:rPr>
      </w:pPr>
    </w:p>
    <w:p w14:paraId="6804A491" w14:textId="60232ECC" w:rsidR="009A7BAC" w:rsidRDefault="00FA72CF" w:rsidP="009A7BAC">
      <w:pPr>
        <w:autoSpaceDE w:val="0"/>
        <w:autoSpaceDN w:val="0"/>
        <w:adjustRightInd w:val="0"/>
        <w:spacing w:after="0" w:line="240" w:lineRule="auto"/>
        <w:ind w:right="-22"/>
        <w:jc w:val="center"/>
        <w:rPr>
          <w:color w:val="000000" w:themeColor="text1"/>
        </w:rPr>
      </w:pPr>
      <w:r>
        <w:rPr>
          <w:color w:val="000000" w:themeColor="text1"/>
        </w:rPr>
        <w:t>BACKGROUND, IN BRIEF</w:t>
      </w:r>
    </w:p>
    <w:p w14:paraId="080BD5FA" w14:textId="77777777" w:rsidR="000212C8" w:rsidRDefault="000212C8" w:rsidP="004E3415">
      <w:pPr>
        <w:autoSpaceDE w:val="0"/>
        <w:autoSpaceDN w:val="0"/>
        <w:adjustRightInd w:val="0"/>
        <w:spacing w:after="0" w:line="240" w:lineRule="auto"/>
        <w:ind w:right="-22"/>
        <w:jc w:val="both"/>
        <w:rPr>
          <w:color w:val="000000" w:themeColor="text1"/>
        </w:rPr>
      </w:pPr>
    </w:p>
    <w:p w14:paraId="3D60F4B2" w14:textId="042A91F5" w:rsidR="00FE5201" w:rsidRDefault="000212C8" w:rsidP="000C5CDC">
      <w:pPr>
        <w:autoSpaceDE w:val="0"/>
        <w:autoSpaceDN w:val="0"/>
        <w:adjustRightInd w:val="0"/>
        <w:spacing w:after="0" w:line="240" w:lineRule="auto"/>
        <w:ind w:right="-22"/>
        <w:jc w:val="both"/>
        <w:rPr>
          <w:color w:val="000000" w:themeColor="text1"/>
        </w:rPr>
      </w:pPr>
      <w:r>
        <w:rPr>
          <w:color w:val="000000" w:themeColor="text1"/>
        </w:rPr>
        <w:t>The 13 American colonies</w:t>
      </w:r>
      <w:r w:rsidR="00050DD4">
        <w:rPr>
          <w:rStyle w:val="FootnoteReference"/>
          <w:color w:val="000000" w:themeColor="text1"/>
        </w:rPr>
        <w:footnoteReference w:id="2"/>
      </w:r>
      <w:r>
        <w:rPr>
          <w:color w:val="000000" w:themeColor="text1"/>
        </w:rPr>
        <w:t xml:space="preserve"> which rebelled against Great Britain’s rule in </w:t>
      </w:r>
      <w:r w:rsidR="00050DD4">
        <w:rPr>
          <w:color w:val="000000" w:themeColor="text1"/>
        </w:rPr>
        <w:t>1775 had been resi</w:t>
      </w:r>
      <w:r w:rsidR="004D3D51">
        <w:rPr>
          <w:color w:val="000000" w:themeColor="text1"/>
        </w:rPr>
        <w:t>sting taxes imposed by the British Government</w:t>
      </w:r>
      <w:r w:rsidR="00050DD4">
        <w:rPr>
          <w:color w:val="000000" w:themeColor="text1"/>
        </w:rPr>
        <w:t xml:space="preserve"> </w:t>
      </w:r>
      <w:r w:rsidR="006136E2">
        <w:rPr>
          <w:color w:val="000000" w:themeColor="text1"/>
        </w:rPr>
        <w:t xml:space="preserve">for </w:t>
      </w:r>
      <w:proofErr w:type="gramStart"/>
      <w:r w:rsidR="006136E2">
        <w:rPr>
          <w:color w:val="000000" w:themeColor="text1"/>
        </w:rPr>
        <w:t>a number of</w:t>
      </w:r>
      <w:proofErr w:type="gramEnd"/>
      <w:r w:rsidR="006136E2">
        <w:rPr>
          <w:color w:val="000000" w:themeColor="text1"/>
        </w:rPr>
        <w:t xml:space="preserve"> </w:t>
      </w:r>
      <w:r w:rsidR="00050DD4">
        <w:rPr>
          <w:color w:val="000000" w:themeColor="text1"/>
        </w:rPr>
        <w:t>years</w:t>
      </w:r>
      <w:r w:rsidR="006136E2">
        <w:rPr>
          <w:color w:val="000000" w:themeColor="text1"/>
        </w:rPr>
        <w:t xml:space="preserve">. </w:t>
      </w:r>
      <w:r w:rsidR="00617602">
        <w:rPr>
          <w:color w:val="000000" w:themeColor="text1"/>
        </w:rPr>
        <w:t xml:space="preserve">Great Britain was heavily in debt </w:t>
      </w:r>
      <w:proofErr w:type="gramStart"/>
      <w:r w:rsidR="00617602">
        <w:rPr>
          <w:color w:val="000000" w:themeColor="text1"/>
        </w:rPr>
        <w:t>as a result of</w:t>
      </w:r>
      <w:proofErr w:type="gramEnd"/>
      <w:r w:rsidR="00617602">
        <w:rPr>
          <w:color w:val="000000" w:themeColor="text1"/>
        </w:rPr>
        <w:t xml:space="preserve"> the Seven Years’ War (1756–63), at root a worldwide conflict between Great Britain and France for global supremacy, which had included the French and Indian wars</w:t>
      </w:r>
      <w:r w:rsidR="00FA72CF">
        <w:rPr>
          <w:color w:val="000000" w:themeColor="text1"/>
        </w:rPr>
        <w:t xml:space="preserve"> in mainland America</w:t>
      </w:r>
      <w:r w:rsidR="005F0805">
        <w:rPr>
          <w:color w:val="000000" w:themeColor="text1"/>
        </w:rPr>
        <w:t xml:space="preserve"> (although these started a little earlier,</w:t>
      </w:r>
      <w:r w:rsidR="00617602">
        <w:rPr>
          <w:color w:val="000000" w:themeColor="text1"/>
        </w:rPr>
        <w:t xml:space="preserve"> in 1754</w:t>
      </w:r>
      <w:r w:rsidR="005F0805">
        <w:rPr>
          <w:color w:val="000000" w:themeColor="text1"/>
        </w:rPr>
        <w:t>)</w:t>
      </w:r>
      <w:r w:rsidR="00617602">
        <w:rPr>
          <w:color w:val="000000" w:themeColor="text1"/>
        </w:rPr>
        <w:t xml:space="preserve">, to protect the British colonies. </w:t>
      </w:r>
      <w:r w:rsidR="005F0805">
        <w:rPr>
          <w:color w:val="000000" w:themeColor="text1"/>
        </w:rPr>
        <w:t>Great Britain</w:t>
      </w:r>
      <w:r w:rsidR="00617602">
        <w:rPr>
          <w:color w:val="000000" w:themeColor="text1"/>
        </w:rPr>
        <w:t xml:space="preserve"> </w:t>
      </w:r>
      <w:proofErr w:type="gramStart"/>
      <w:r w:rsidR="00617602">
        <w:rPr>
          <w:color w:val="000000" w:themeColor="text1"/>
        </w:rPr>
        <w:t>was in need of</w:t>
      </w:r>
      <w:proofErr w:type="gramEnd"/>
      <w:r w:rsidR="00617602">
        <w:rPr>
          <w:color w:val="000000" w:themeColor="text1"/>
        </w:rPr>
        <w:t xml:space="preserve"> revenue and attempted to impose </w:t>
      </w:r>
      <w:r w:rsidR="00FA72CF">
        <w:rPr>
          <w:color w:val="000000" w:themeColor="text1"/>
        </w:rPr>
        <w:t>a number of measures</w:t>
      </w:r>
      <w:r w:rsidR="005F0805">
        <w:rPr>
          <w:color w:val="000000" w:themeColor="text1"/>
        </w:rPr>
        <w:t xml:space="preserve"> to increase tax collected</w:t>
      </w:r>
      <w:r w:rsidR="00FA72CF">
        <w:rPr>
          <w:color w:val="000000" w:themeColor="text1"/>
        </w:rPr>
        <w:t xml:space="preserve"> which became increasingly contentious over time</w:t>
      </w:r>
      <w:r w:rsidR="00617602">
        <w:rPr>
          <w:color w:val="000000" w:themeColor="text1"/>
        </w:rPr>
        <w:t>. The Molasses Act of 1733,</w:t>
      </w:r>
      <w:r w:rsidR="00617602">
        <w:rPr>
          <w:rStyle w:val="FootnoteReference"/>
          <w:color w:val="000000" w:themeColor="text1"/>
        </w:rPr>
        <w:footnoteReference w:id="3"/>
      </w:r>
      <w:r w:rsidR="00617602">
        <w:rPr>
          <w:color w:val="000000" w:themeColor="text1"/>
        </w:rPr>
        <w:t xml:space="preserve"> </w:t>
      </w:r>
      <w:r w:rsidR="00C1517B">
        <w:rPr>
          <w:color w:val="000000" w:themeColor="text1"/>
        </w:rPr>
        <w:t>although intended as a measure to regulate trade, imposed a duty of six pence per gallon</w:t>
      </w:r>
      <w:r w:rsidR="009A2257">
        <w:rPr>
          <w:color w:val="000000" w:themeColor="text1"/>
        </w:rPr>
        <w:t xml:space="preserve"> on molasses imported from non-British colonies, and </w:t>
      </w:r>
      <w:r w:rsidR="006D793D">
        <w:rPr>
          <w:color w:val="000000" w:themeColor="text1"/>
        </w:rPr>
        <w:t>harmed the New England rum trade, which was dependent on molasses from the West Indies.</w:t>
      </w:r>
      <w:r w:rsidR="00951849">
        <w:rPr>
          <w:color w:val="000000" w:themeColor="text1"/>
        </w:rPr>
        <w:t xml:space="preserve"> </w:t>
      </w:r>
      <w:r w:rsidR="006D793D">
        <w:rPr>
          <w:color w:val="000000" w:themeColor="text1"/>
        </w:rPr>
        <w:t xml:space="preserve">It was </w:t>
      </w:r>
      <w:r w:rsidR="00951849">
        <w:rPr>
          <w:color w:val="000000" w:themeColor="text1"/>
        </w:rPr>
        <w:t xml:space="preserve">widely evaded and gave rise to considerable </w:t>
      </w:r>
      <w:proofErr w:type="gramStart"/>
      <w:r w:rsidR="00951849">
        <w:rPr>
          <w:color w:val="000000" w:themeColor="text1"/>
        </w:rPr>
        <w:t>smuggling, and</w:t>
      </w:r>
      <w:proofErr w:type="gramEnd"/>
      <w:r w:rsidR="00951849">
        <w:rPr>
          <w:color w:val="000000" w:themeColor="text1"/>
        </w:rPr>
        <w:t xml:space="preserve"> was ultimately </w:t>
      </w:r>
      <w:r w:rsidR="006D793D">
        <w:rPr>
          <w:color w:val="000000" w:themeColor="text1"/>
        </w:rPr>
        <w:t xml:space="preserve">repealed </w:t>
      </w:r>
      <w:r w:rsidR="001A0CBA">
        <w:rPr>
          <w:color w:val="000000" w:themeColor="text1"/>
        </w:rPr>
        <w:t xml:space="preserve">and replaced </w:t>
      </w:r>
      <w:r w:rsidR="006D793D">
        <w:rPr>
          <w:color w:val="000000" w:themeColor="text1"/>
        </w:rPr>
        <w:t xml:space="preserve">by the </w:t>
      </w:r>
      <w:r w:rsidR="00951849">
        <w:rPr>
          <w:color w:val="000000" w:themeColor="text1"/>
        </w:rPr>
        <w:t xml:space="preserve">1764 </w:t>
      </w:r>
      <w:r w:rsidR="006D793D">
        <w:rPr>
          <w:color w:val="000000" w:themeColor="text1"/>
        </w:rPr>
        <w:t>Sugar Act</w:t>
      </w:r>
      <w:r w:rsidR="00FE5201">
        <w:rPr>
          <w:color w:val="000000" w:themeColor="text1"/>
        </w:rPr>
        <w:t>,</w:t>
      </w:r>
      <w:r w:rsidR="0047036C">
        <w:rPr>
          <w:rStyle w:val="FootnoteReference"/>
          <w:color w:val="000000" w:themeColor="text1"/>
        </w:rPr>
        <w:footnoteReference w:id="4"/>
      </w:r>
      <w:r w:rsidR="0047036C">
        <w:rPr>
          <w:color w:val="000000" w:themeColor="text1"/>
        </w:rPr>
        <w:t xml:space="preserve"> </w:t>
      </w:r>
      <w:r w:rsidR="00FE5201">
        <w:rPr>
          <w:color w:val="000000" w:themeColor="text1"/>
        </w:rPr>
        <w:t>which reduced the tax by half</w:t>
      </w:r>
      <w:r w:rsidR="00951849">
        <w:rPr>
          <w:color w:val="000000" w:themeColor="text1"/>
        </w:rPr>
        <w:t>.</w:t>
      </w:r>
      <w:r w:rsidR="009A2257">
        <w:rPr>
          <w:color w:val="000000" w:themeColor="text1"/>
        </w:rPr>
        <w:t xml:space="preserve"> </w:t>
      </w:r>
      <w:r w:rsidR="00951849">
        <w:rPr>
          <w:color w:val="000000" w:themeColor="text1"/>
        </w:rPr>
        <w:t>T</w:t>
      </w:r>
      <w:r w:rsidR="009A2257">
        <w:rPr>
          <w:color w:val="000000" w:themeColor="text1"/>
        </w:rPr>
        <w:t xml:space="preserve">he </w:t>
      </w:r>
      <w:r w:rsidR="00951849">
        <w:rPr>
          <w:color w:val="000000" w:themeColor="text1"/>
        </w:rPr>
        <w:t>Sugar Act</w:t>
      </w:r>
      <w:r w:rsidR="00E63B63">
        <w:rPr>
          <w:color w:val="000000" w:themeColor="text1"/>
        </w:rPr>
        <w:t xml:space="preserve"> remained unpopular, with Founding Father,</w:t>
      </w:r>
      <w:r w:rsidR="00AA5FC5">
        <w:rPr>
          <w:rStyle w:val="FootnoteReference"/>
          <w:color w:val="000000" w:themeColor="text1"/>
        </w:rPr>
        <w:footnoteReference w:id="5"/>
      </w:r>
      <w:r w:rsidR="00E63B63">
        <w:rPr>
          <w:color w:val="000000" w:themeColor="text1"/>
        </w:rPr>
        <w:t xml:space="preserve"> Samuel Adams of Massachusetts</w:t>
      </w:r>
      <w:r w:rsidR="00AA5FC5">
        <w:rPr>
          <w:color w:val="000000" w:themeColor="text1"/>
        </w:rPr>
        <w:t>,</w:t>
      </w:r>
      <w:r w:rsidR="00E63B63">
        <w:rPr>
          <w:color w:val="000000" w:themeColor="text1"/>
        </w:rPr>
        <w:t xml:space="preserve"> denouncing it in a report to the Massachusetts assembly:</w:t>
      </w:r>
    </w:p>
    <w:p w14:paraId="72F38129" w14:textId="77777777" w:rsidR="00E63B63" w:rsidRDefault="00E63B63" w:rsidP="000C5CDC">
      <w:pPr>
        <w:autoSpaceDE w:val="0"/>
        <w:autoSpaceDN w:val="0"/>
        <w:adjustRightInd w:val="0"/>
        <w:spacing w:after="0" w:line="240" w:lineRule="auto"/>
        <w:ind w:right="-22"/>
        <w:jc w:val="both"/>
        <w:rPr>
          <w:color w:val="000000" w:themeColor="text1"/>
        </w:rPr>
      </w:pPr>
    </w:p>
    <w:p w14:paraId="301FB7D1" w14:textId="38FB932B" w:rsidR="00FE5201" w:rsidRDefault="00FE5201" w:rsidP="00C66AE1">
      <w:pPr>
        <w:shd w:val="clear" w:color="auto" w:fill="FFFFFF"/>
        <w:spacing w:after="0" w:line="240" w:lineRule="auto"/>
        <w:ind w:left="720" w:right="662"/>
        <w:jc w:val="both"/>
        <w:rPr>
          <w:rFonts w:eastAsia="Times New Roman"/>
          <w:color w:val="202122"/>
          <w:lang w:eastAsia="en-GB"/>
        </w:rPr>
      </w:pPr>
      <w:r w:rsidRPr="00FE5201">
        <w:rPr>
          <w:rFonts w:eastAsia="Times New Roman"/>
          <w:lang w:eastAsia="en-GB"/>
        </w:rPr>
        <w:t xml:space="preserve">For if our Trade may be taxed why not our Lands? Why not the Produce of our </w:t>
      </w:r>
      <w:proofErr w:type="gramStart"/>
      <w:r w:rsidRPr="00FE5201">
        <w:rPr>
          <w:rFonts w:eastAsia="Times New Roman"/>
          <w:lang w:eastAsia="en-GB"/>
        </w:rPr>
        <w:t xml:space="preserve">Lands &amp; </w:t>
      </w:r>
      <w:proofErr w:type="spellStart"/>
      <w:r w:rsidRPr="00FE5201">
        <w:rPr>
          <w:rFonts w:eastAsia="Times New Roman"/>
          <w:lang w:eastAsia="en-GB"/>
        </w:rPr>
        <w:t>every thing</w:t>
      </w:r>
      <w:proofErr w:type="spellEnd"/>
      <w:proofErr w:type="gramEnd"/>
      <w:r w:rsidRPr="00FE5201">
        <w:rPr>
          <w:rFonts w:eastAsia="Times New Roman"/>
          <w:lang w:eastAsia="en-GB"/>
        </w:rPr>
        <w:t xml:space="preserve"> we possess or make use of? This we apprehend annihilates our Charter Right to govern &amp; tax ourselves</w:t>
      </w:r>
      <w:r w:rsidR="00E63B63" w:rsidRPr="00C66AE1">
        <w:rPr>
          <w:rFonts w:eastAsia="Times New Roman"/>
          <w:lang w:eastAsia="en-GB"/>
        </w:rPr>
        <w:t xml:space="preserve"> </w:t>
      </w:r>
      <w:r w:rsidRPr="00FE5201">
        <w:rPr>
          <w:rFonts w:eastAsia="Times New Roman"/>
          <w:lang w:eastAsia="en-GB"/>
        </w:rPr>
        <w:t>– It strikes our British Privileges, which as we have never forfeited them, we hold in common with our Fellow Subjects who are Natives of Britain: If Taxes are laid upon us in any shape without our having a legal Representation where they are laid, are we not reduced from the Character of free Subjects to the miserable State of tributary Slaves?</w:t>
      </w:r>
      <w:r w:rsidR="00E63B63">
        <w:rPr>
          <w:rStyle w:val="FootnoteReference"/>
          <w:rFonts w:eastAsia="Times New Roman"/>
          <w:color w:val="202122"/>
          <w:lang w:eastAsia="en-GB"/>
        </w:rPr>
        <w:footnoteReference w:id="6"/>
      </w:r>
    </w:p>
    <w:p w14:paraId="26499D55" w14:textId="199AA36D" w:rsidR="00C66AE1" w:rsidRDefault="00C66AE1" w:rsidP="00C66AE1">
      <w:pPr>
        <w:shd w:val="clear" w:color="auto" w:fill="FFFFFF"/>
        <w:spacing w:after="0" w:line="240" w:lineRule="auto"/>
        <w:jc w:val="both"/>
        <w:rPr>
          <w:rFonts w:eastAsia="Times New Roman"/>
          <w:color w:val="202122"/>
          <w:lang w:eastAsia="en-GB"/>
        </w:rPr>
      </w:pPr>
    </w:p>
    <w:p w14:paraId="5C7C5BCC" w14:textId="60A84059" w:rsidR="00C66AE1" w:rsidRPr="00C66AE1" w:rsidRDefault="00C66AE1" w:rsidP="00C66AE1">
      <w:pPr>
        <w:shd w:val="clear" w:color="auto" w:fill="FFFFFF"/>
        <w:spacing w:after="0" w:line="240" w:lineRule="auto"/>
        <w:jc w:val="both"/>
        <w:rPr>
          <w:rFonts w:eastAsia="Times New Roman"/>
          <w:color w:val="202122"/>
          <w:lang w:eastAsia="en-GB"/>
        </w:rPr>
      </w:pPr>
      <w:r>
        <w:rPr>
          <w:rFonts w:eastAsia="Times New Roman"/>
          <w:color w:val="202122"/>
          <w:lang w:eastAsia="en-GB"/>
        </w:rPr>
        <w:t xml:space="preserve">The Sugar Act was repealed in </w:t>
      </w:r>
      <w:proofErr w:type="gramStart"/>
      <w:r>
        <w:rPr>
          <w:rFonts w:eastAsia="Times New Roman"/>
          <w:color w:val="202122"/>
          <w:lang w:eastAsia="en-GB"/>
        </w:rPr>
        <w:t>1766, and</w:t>
      </w:r>
      <w:proofErr w:type="gramEnd"/>
      <w:r>
        <w:rPr>
          <w:rFonts w:eastAsia="Times New Roman"/>
          <w:color w:val="202122"/>
          <w:lang w:eastAsia="en-GB"/>
        </w:rPr>
        <w:t xml:space="preserve"> replaced by the Revenue Act</w:t>
      </w:r>
      <w:r w:rsidR="00D94ACA">
        <w:rPr>
          <w:rStyle w:val="FootnoteReference"/>
          <w:rFonts w:eastAsia="Times New Roman"/>
          <w:color w:val="202122"/>
          <w:lang w:eastAsia="en-GB"/>
        </w:rPr>
        <w:footnoteReference w:id="7"/>
      </w:r>
      <w:r>
        <w:rPr>
          <w:rFonts w:eastAsia="Times New Roman"/>
          <w:color w:val="202122"/>
          <w:lang w:eastAsia="en-GB"/>
        </w:rPr>
        <w:t xml:space="preserve"> in the same year</w:t>
      </w:r>
      <w:r w:rsidRPr="00C66AE1">
        <w:rPr>
          <w:rFonts w:eastAsia="Times New Roman"/>
          <w:color w:val="202122"/>
          <w:lang w:eastAsia="en-GB"/>
        </w:rPr>
        <w:t xml:space="preserve">, which </w:t>
      </w:r>
      <w:r>
        <w:rPr>
          <w:rFonts w:eastAsia="Times New Roman"/>
          <w:color w:val="202122"/>
          <w:lang w:eastAsia="en-GB"/>
        </w:rPr>
        <w:t>decreased the duty</w:t>
      </w:r>
      <w:r w:rsidRPr="00C66AE1">
        <w:rPr>
          <w:color w:val="202122"/>
          <w:shd w:val="clear" w:color="auto" w:fill="FFFFFF"/>
        </w:rPr>
        <w:t xml:space="preserve"> tax to one penny per gallon on </w:t>
      </w:r>
      <w:r>
        <w:rPr>
          <w:color w:val="202122"/>
          <w:shd w:val="clear" w:color="auto" w:fill="FFFFFF"/>
        </w:rPr>
        <w:t xml:space="preserve">all imported </w:t>
      </w:r>
      <w:r w:rsidRPr="00C66AE1">
        <w:rPr>
          <w:color w:val="202122"/>
          <w:shd w:val="clear" w:color="auto" w:fill="FFFFFF"/>
        </w:rPr>
        <w:t>molasses</w:t>
      </w:r>
      <w:r>
        <w:rPr>
          <w:color w:val="202122"/>
          <w:shd w:val="clear" w:color="auto" w:fill="FFFFFF"/>
        </w:rPr>
        <w:t>, whether</w:t>
      </w:r>
      <w:r w:rsidRPr="00C66AE1">
        <w:rPr>
          <w:color w:val="202122"/>
          <w:shd w:val="clear" w:color="auto" w:fill="FFFFFF"/>
        </w:rPr>
        <w:t xml:space="preserve"> British or </w:t>
      </w:r>
      <w:r>
        <w:rPr>
          <w:color w:val="202122"/>
          <w:shd w:val="clear" w:color="auto" w:fill="FFFFFF"/>
        </w:rPr>
        <w:t>not.</w:t>
      </w:r>
    </w:p>
    <w:p w14:paraId="3DA2EE56" w14:textId="77777777" w:rsidR="00C66AE1" w:rsidRDefault="00C66AE1" w:rsidP="00C66AE1">
      <w:pPr>
        <w:shd w:val="clear" w:color="auto" w:fill="FFFFFF"/>
        <w:spacing w:after="0" w:line="240" w:lineRule="auto"/>
        <w:jc w:val="both"/>
        <w:rPr>
          <w:rFonts w:eastAsia="Times New Roman"/>
          <w:color w:val="202122"/>
          <w:lang w:eastAsia="en-GB"/>
        </w:rPr>
      </w:pPr>
    </w:p>
    <w:p w14:paraId="20E4BB7F" w14:textId="0585215F" w:rsidR="001C5DF7" w:rsidRDefault="006136E2" w:rsidP="00214DB8">
      <w:pPr>
        <w:autoSpaceDE w:val="0"/>
        <w:autoSpaceDN w:val="0"/>
        <w:adjustRightInd w:val="0"/>
        <w:spacing w:after="0" w:line="240" w:lineRule="auto"/>
        <w:ind w:right="-22" w:firstLine="720"/>
        <w:jc w:val="both"/>
        <w:rPr>
          <w:rStyle w:val="Strong"/>
          <w:b w:val="0"/>
          <w:bCs w:val="0"/>
          <w:color w:val="111111"/>
          <w:shd w:val="clear" w:color="auto" w:fill="FFFFFF"/>
        </w:rPr>
      </w:pPr>
      <w:r>
        <w:rPr>
          <w:color w:val="000000" w:themeColor="text1"/>
        </w:rPr>
        <w:t>The start of the revolutionary movement</w:t>
      </w:r>
      <w:r w:rsidR="00291406">
        <w:rPr>
          <w:color w:val="000000" w:themeColor="text1"/>
        </w:rPr>
        <w:t>, however,</w:t>
      </w:r>
      <w:r>
        <w:rPr>
          <w:color w:val="000000" w:themeColor="text1"/>
        </w:rPr>
        <w:t xml:space="preserve"> is generally accepted as 1765, when the ‘Sons of Liberty’</w:t>
      </w:r>
      <w:r w:rsidR="0091516A">
        <w:rPr>
          <w:rStyle w:val="FootnoteReference"/>
          <w:color w:val="000000" w:themeColor="text1"/>
        </w:rPr>
        <w:footnoteReference w:id="8"/>
      </w:r>
      <w:r>
        <w:rPr>
          <w:color w:val="000000" w:themeColor="text1"/>
        </w:rPr>
        <w:t xml:space="preserve"> initiated </w:t>
      </w:r>
      <w:proofErr w:type="gramStart"/>
      <w:r>
        <w:rPr>
          <w:color w:val="000000" w:themeColor="text1"/>
        </w:rPr>
        <w:t>protest</w:t>
      </w:r>
      <w:r w:rsidR="00AE7B83">
        <w:rPr>
          <w:color w:val="000000" w:themeColor="text1"/>
        </w:rPr>
        <w:t>s</w:t>
      </w:r>
      <w:r>
        <w:rPr>
          <w:color w:val="000000" w:themeColor="text1"/>
        </w:rPr>
        <w:t xml:space="preserve"> against</w:t>
      </w:r>
      <w:proofErr w:type="gramEnd"/>
      <w:r>
        <w:rPr>
          <w:color w:val="000000" w:themeColor="text1"/>
        </w:rPr>
        <w:t xml:space="preserve"> the Stamp Act</w:t>
      </w:r>
      <w:r w:rsidR="00C50E2C">
        <w:rPr>
          <w:rStyle w:val="FootnoteReference"/>
          <w:color w:val="000000" w:themeColor="text1"/>
        </w:rPr>
        <w:footnoteReference w:id="9"/>
      </w:r>
      <w:r w:rsidR="002D5221">
        <w:rPr>
          <w:color w:val="000000" w:themeColor="text1"/>
        </w:rPr>
        <w:t xml:space="preserve"> of that year</w:t>
      </w:r>
      <w:r>
        <w:rPr>
          <w:color w:val="000000" w:themeColor="text1"/>
        </w:rPr>
        <w:t xml:space="preserve">, whereby the British </w:t>
      </w:r>
      <w:r w:rsidR="00C03799">
        <w:rPr>
          <w:color w:val="000000" w:themeColor="text1"/>
        </w:rPr>
        <w:t>G</w:t>
      </w:r>
      <w:r>
        <w:rPr>
          <w:color w:val="000000" w:themeColor="text1"/>
        </w:rPr>
        <w:t xml:space="preserve">overnment required certain paper products to </w:t>
      </w:r>
      <w:r w:rsidR="002D5221">
        <w:rPr>
          <w:color w:val="000000" w:themeColor="text1"/>
        </w:rPr>
        <w:t xml:space="preserve">bear embossed </w:t>
      </w:r>
      <w:r>
        <w:rPr>
          <w:color w:val="000000" w:themeColor="text1"/>
        </w:rPr>
        <w:t>stamp</w:t>
      </w:r>
      <w:r w:rsidR="002D5221">
        <w:rPr>
          <w:color w:val="000000" w:themeColor="text1"/>
        </w:rPr>
        <w:t>s</w:t>
      </w:r>
      <w:r>
        <w:rPr>
          <w:color w:val="000000" w:themeColor="text1"/>
        </w:rPr>
        <w:t>, including newspapers</w:t>
      </w:r>
      <w:r w:rsidR="00635D7A">
        <w:rPr>
          <w:color w:val="000000" w:themeColor="text1"/>
        </w:rPr>
        <w:t xml:space="preserve">, pamphlets (but not books), playing cards and dice. </w:t>
      </w:r>
      <w:r w:rsidR="001E3DC5">
        <w:rPr>
          <w:color w:val="000000" w:themeColor="text1"/>
        </w:rPr>
        <w:t>The colonies traditionally had the right to raise internal taxes themselves</w:t>
      </w:r>
      <w:r w:rsidR="005449D5">
        <w:rPr>
          <w:color w:val="000000" w:themeColor="text1"/>
        </w:rPr>
        <w:t xml:space="preserve"> (the quote from Samuel Adams above leaves this in no doubt</w:t>
      </w:r>
      <w:proofErr w:type="gramStart"/>
      <w:r w:rsidR="005449D5">
        <w:rPr>
          <w:color w:val="000000" w:themeColor="text1"/>
        </w:rPr>
        <w:t>)</w:t>
      </w:r>
      <w:r w:rsidR="00DE481E">
        <w:rPr>
          <w:color w:val="000000" w:themeColor="text1"/>
        </w:rPr>
        <w:t>,</w:t>
      </w:r>
      <w:r w:rsidR="005449D5">
        <w:rPr>
          <w:color w:val="000000" w:themeColor="text1"/>
        </w:rPr>
        <w:t xml:space="preserve"> </w:t>
      </w:r>
      <w:r w:rsidR="001E3DC5">
        <w:rPr>
          <w:color w:val="000000" w:themeColor="text1"/>
        </w:rPr>
        <w:t>and</w:t>
      </w:r>
      <w:proofErr w:type="gramEnd"/>
      <w:r w:rsidR="001E3DC5">
        <w:rPr>
          <w:color w:val="000000" w:themeColor="text1"/>
        </w:rPr>
        <w:t xml:space="preserve"> believed the British </w:t>
      </w:r>
      <w:r w:rsidR="00C03799">
        <w:rPr>
          <w:color w:val="000000" w:themeColor="text1"/>
        </w:rPr>
        <w:t>G</w:t>
      </w:r>
      <w:r w:rsidR="001E3DC5">
        <w:rPr>
          <w:color w:val="000000" w:themeColor="text1"/>
        </w:rPr>
        <w:t>overnment’s imposition of the Stamp Act challenged this right.</w:t>
      </w:r>
      <w:r w:rsidR="000C5CDC">
        <w:rPr>
          <w:rStyle w:val="FootnoteReference"/>
          <w:color w:val="000000" w:themeColor="text1"/>
        </w:rPr>
        <w:footnoteReference w:id="10"/>
      </w:r>
      <w:r w:rsidR="001E3DC5">
        <w:rPr>
          <w:color w:val="000000" w:themeColor="text1"/>
        </w:rPr>
        <w:t xml:space="preserve"> </w:t>
      </w:r>
      <w:r w:rsidR="00635D7A">
        <w:rPr>
          <w:color w:val="000000" w:themeColor="text1"/>
        </w:rPr>
        <w:t>The protest against the Stamp Act became widespread</w:t>
      </w:r>
      <w:r w:rsidR="009706A5">
        <w:rPr>
          <w:color w:val="000000" w:themeColor="text1"/>
        </w:rPr>
        <w:t xml:space="preserve">. </w:t>
      </w:r>
      <w:r w:rsidR="000C5CDC">
        <w:rPr>
          <w:color w:val="000000" w:themeColor="text1"/>
        </w:rPr>
        <w:t>In th</w:t>
      </w:r>
      <w:r w:rsidR="000C5CDC" w:rsidRPr="009706A5">
        <w:rPr>
          <w:color w:val="111111"/>
          <w:shd w:val="clear" w:color="auto" w:fill="FFFFFF"/>
        </w:rPr>
        <w:t>e Virginia Resolves</w:t>
      </w:r>
      <w:r w:rsidR="000C5CDC">
        <w:rPr>
          <w:color w:val="111111"/>
          <w:shd w:val="clear" w:color="auto" w:fill="FFFFFF"/>
        </w:rPr>
        <w:t xml:space="preserve"> – </w:t>
      </w:r>
      <w:r w:rsidR="000C5CDC" w:rsidRPr="009706A5">
        <w:rPr>
          <w:color w:val="111111"/>
          <w:shd w:val="clear" w:color="auto" w:fill="FFFFFF"/>
        </w:rPr>
        <w:t>a</w:t>
      </w:r>
      <w:r w:rsidR="000C5CDC">
        <w:rPr>
          <w:color w:val="111111"/>
          <w:shd w:val="clear" w:color="auto" w:fill="FFFFFF"/>
        </w:rPr>
        <w:t xml:space="preserve"> set</w:t>
      </w:r>
      <w:r w:rsidR="000C5CDC" w:rsidRPr="009706A5">
        <w:rPr>
          <w:rStyle w:val="Strong"/>
          <w:b w:val="0"/>
          <w:bCs w:val="0"/>
          <w:color w:val="111111"/>
          <w:shd w:val="clear" w:color="auto" w:fill="FFFFFF"/>
        </w:rPr>
        <w:t xml:space="preserve"> of resolutions passed by the Virginia House of Burgesses in response to the Stamp Act</w:t>
      </w:r>
      <w:r w:rsidR="000C5CDC">
        <w:rPr>
          <w:rStyle w:val="Strong"/>
          <w:b w:val="0"/>
          <w:bCs w:val="0"/>
          <w:color w:val="111111"/>
          <w:shd w:val="clear" w:color="auto" w:fill="FFFFFF"/>
        </w:rPr>
        <w:t xml:space="preserve"> – Patrick Henry, one of the Founding Fathers</w:t>
      </w:r>
      <w:r w:rsidR="00AB4309">
        <w:rPr>
          <w:rStyle w:val="Strong"/>
          <w:b w:val="0"/>
          <w:bCs w:val="0"/>
          <w:color w:val="111111"/>
          <w:shd w:val="clear" w:color="auto" w:fill="FFFFFF"/>
        </w:rPr>
        <w:t>,</w:t>
      </w:r>
      <w:r w:rsidR="000C5CDC">
        <w:rPr>
          <w:rStyle w:val="Strong"/>
          <w:b w:val="0"/>
          <w:bCs w:val="0"/>
          <w:color w:val="111111"/>
          <w:shd w:val="clear" w:color="auto" w:fill="FFFFFF"/>
        </w:rPr>
        <w:t xml:space="preserve"> stated that the attempt</w:t>
      </w:r>
      <w:r w:rsidR="00DD68AA">
        <w:rPr>
          <w:rStyle w:val="Strong"/>
          <w:b w:val="0"/>
          <w:bCs w:val="0"/>
          <w:color w:val="111111"/>
          <w:shd w:val="clear" w:color="auto" w:fill="FFFFFF"/>
        </w:rPr>
        <w:t xml:space="preserve"> was ‘illegal, unconstitutional and unjust’:</w:t>
      </w:r>
      <w:r w:rsidR="00DD68AA">
        <w:rPr>
          <w:rStyle w:val="FootnoteReference"/>
          <w:color w:val="111111"/>
          <w:shd w:val="clear" w:color="auto" w:fill="FFFFFF"/>
        </w:rPr>
        <w:footnoteReference w:id="11"/>
      </w:r>
      <w:r w:rsidR="00DD68AA">
        <w:rPr>
          <w:rStyle w:val="Strong"/>
          <w:b w:val="0"/>
          <w:bCs w:val="0"/>
          <w:color w:val="111111"/>
          <w:shd w:val="clear" w:color="auto" w:fill="FFFFFF"/>
        </w:rPr>
        <w:t xml:space="preserve"> the colonies could not send representatives to the Houses of Parliament in Great Britain to vote on the</w:t>
      </w:r>
      <w:r w:rsidR="00663EC0">
        <w:rPr>
          <w:rStyle w:val="Strong"/>
          <w:b w:val="0"/>
          <w:bCs w:val="0"/>
          <w:color w:val="111111"/>
          <w:shd w:val="clear" w:color="auto" w:fill="FFFFFF"/>
        </w:rPr>
        <w:t xml:space="preserve"> </w:t>
      </w:r>
      <w:r w:rsidR="00DD68AA">
        <w:rPr>
          <w:rStyle w:val="Strong"/>
          <w:b w:val="0"/>
          <w:bCs w:val="0"/>
          <w:color w:val="111111"/>
          <w:shd w:val="clear" w:color="auto" w:fill="FFFFFF"/>
        </w:rPr>
        <w:t>taxes imposed upon them</w:t>
      </w:r>
      <w:r w:rsidR="00AB4309">
        <w:rPr>
          <w:rStyle w:val="Strong"/>
          <w:b w:val="0"/>
          <w:bCs w:val="0"/>
          <w:color w:val="111111"/>
          <w:shd w:val="clear" w:color="auto" w:fill="FFFFFF"/>
        </w:rPr>
        <w:t xml:space="preserve">. </w:t>
      </w:r>
      <w:r w:rsidR="001C091B">
        <w:rPr>
          <w:rStyle w:val="Strong"/>
          <w:b w:val="0"/>
          <w:bCs w:val="0"/>
          <w:color w:val="111111"/>
          <w:shd w:val="clear" w:color="auto" w:fill="FFFFFF"/>
        </w:rPr>
        <w:t>Oats and Sadler</w:t>
      </w:r>
      <w:r w:rsidR="001C091B">
        <w:rPr>
          <w:rStyle w:val="FootnoteReference"/>
          <w:color w:val="111111"/>
          <w:shd w:val="clear" w:color="auto" w:fill="FFFFFF"/>
        </w:rPr>
        <w:footnoteReference w:id="12"/>
      </w:r>
      <w:r w:rsidR="001C091B">
        <w:rPr>
          <w:rStyle w:val="Strong"/>
          <w:b w:val="0"/>
          <w:bCs w:val="0"/>
          <w:color w:val="111111"/>
          <w:shd w:val="clear" w:color="auto" w:fill="FFFFFF"/>
        </w:rPr>
        <w:t xml:space="preserve"> comment also that </w:t>
      </w:r>
      <w:r w:rsidR="00B71FB4">
        <w:rPr>
          <w:rStyle w:val="Strong"/>
          <w:b w:val="0"/>
          <w:bCs w:val="0"/>
          <w:color w:val="111111"/>
          <w:shd w:val="clear" w:color="auto" w:fill="FFFFFF"/>
        </w:rPr>
        <w:t xml:space="preserve">the </w:t>
      </w:r>
      <w:r w:rsidR="001C091B">
        <w:rPr>
          <w:rStyle w:val="Strong"/>
          <w:b w:val="0"/>
          <w:bCs w:val="0"/>
          <w:color w:val="111111"/>
          <w:shd w:val="clear" w:color="auto" w:fill="FFFFFF"/>
        </w:rPr>
        <w:t xml:space="preserve">British Government ‘underestimated both the logistics of implementing a complex form of taxation across vast geographical </w:t>
      </w:r>
      <w:r w:rsidR="00D7140A">
        <w:rPr>
          <w:rStyle w:val="Strong"/>
          <w:b w:val="0"/>
          <w:bCs w:val="0"/>
          <w:color w:val="111111"/>
          <w:shd w:val="clear" w:color="auto" w:fill="FFFFFF"/>
        </w:rPr>
        <w:t>distances</w:t>
      </w:r>
      <w:r w:rsidR="001C091B">
        <w:rPr>
          <w:rStyle w:val="Strong"/>
          <w:b w:val="0"/>
          <w:bCs w:val="0"/>
          <w:color w:val="111111"/>
          <w:shd w:val="clear" w:color="auto" w:fill="FFFFFF"/>
        </w:rPr>
        <w:t xml:space="preserve"> and the strength of the resistance in the local setting’</w:t>
      </w:r>
      <w:r w:rsidR="00214DB8">
        <w:rPr>
          <w:rStyle w:val="Strong"/>
          <w:b w:val="0"/>
          <w:bCs w:val="0"/>
          <w:color w:val="111111"/>
          <w:shd w:val="clear" w:color="auto" w:fill="FFFFFF"/>
        </w:rPr>
        <w:t>.</w:t>
      </w:r>
      <w:r w:rsidR="001C091B">
        <w:rPr>
          <w:rStyle w:val="FootnoteReference"/>
          <w:color w:val="111111"/>
          <w:shd w:val="clear" w:color="auto" w:fill="FFFFFF"/>
        </w:rPr>
        <w:footnoteReference w:id="13"/>
      </w:r>
    </w:p>
    <w:p w14:paraId="672EFFDD" w14:textId="77777777" w:rsidR="001C5DF7" w:rsidRDefault="001C5DF7" w:rsidP="001C5DF7">
      <w:pPr>
        <w:autoSpaceDE w:val="0"/>
        <w:autoSpaceDN w:val="0"/>
        <w:adjustRightInd w:val="0"/>
        <w:spacing w:after="0" w:line="240" w:lineRule="auto"/>
        <w:ind w:right="-22"/>
        <w:jc w:val="both"/>
        <w:rPr>
          <w:rStyle w:val="Strong"/>
          <w:b w:val="0"/>
          <w:bCs w:val="0"/>
          <w:color w:val="111111"/>
          <w:shd w:val="clear" w:color="auto" w:fill="FFFFFF"/>
        </w:rPr>
      </w:pPr>
    </w:p>
    <w:p w14:paraId="5DC4BCC0" w14:textId="5E54F6C9" w:rsidR="000C5CDC" w:rsidRDefault="00AB4309" w:rsidP="00214DB8">
      <w:pPr>
        <w:autoSpaceDE w:val="0"/>
        <w:autoSpaceDN w:val="0"/>
        <w:adjustRightInd w:val="0"/>
        <w:spacing w:after="0" w:line="240" w:lineRule="auto"/>
        <w:ind w:right="-22" w:firstLine="720"/>
        <w:jc w:val="both"/>
        <w:rPr>
          <w:rStyle w:val="Strong"/>
          <w:b w:val="0"/>
          <w:bCs w:val="0"/>
          <w:color w:val="111111"/>
          <w:shd w:val="clear" w:color="auto" w:fill="FFFFFF"/>
        </w:rPr>
      </w:pPr>
      <w:proofErr w:type="spellStart"/>
      <w:r>
        <w:rPr>
          <w:rStyle w:val="Strong"/>
          <w:b w:val="0"/>
          <w:bCs w:val="0"/>
          <w:color w:val="111111"/>
          <w:shd w:val="clear" w:color="auto" w:fill="FFFFFF"/>
        </w:rPr>
        <w:t>Alpaugh</w:t>
      </w:r>
      <w:proofErr w:type="spellEnd"/>
      <w:r>
        <w:rPr>
          <w:rStyle w:val="FootnoteReference"/>
          <w:color w:val="111111"/>
          <w:shd w:val="clear" w:color="auto" w:fill="FFFFFF"/>
        </w:rPr>
        <w:footnoteReference w:id="14"/>
      </w:r>
      <w:r>
        <w:rPr>
          <w:rStyle w:val="Strong"/>
          <w:b w:val="0"/>
          <w:bCs w:val="0"/>
          <w:color w:val="111111"/>
          <w:shd w:val="clear" w:color="auto" w:fill="FFFFFF"/>
        </w:rPr>
        <w:t xml:space="preserve"> makes clear that the activities of the </w:t>
      </w:r>
      <w:r w:rsidR="00D564BB">
        <w:rPr>
          <w:rStyle w:val="Strong"/>
          <w:b w:val="0"/>
          <w:bCs w:val="0"/>
          <w:color w:val="111111"/>
          <w:shd w:val="clear" w:color="auto" w:fill="FFFFFF"/>
        </w:rPr>
        <w:t>‘</w:t>
      </w:r>
      <w:r>
        <w:rPr>
          <w:rStyle w:val="Strong"/>
          <w:b w:val="0"/>
          <w:bCs w:val="0"/>
          <w:color w:val="111111"/>
          <w:shd w:val="clear" w:color="auto" w:fill="FFFFFF"/>
        </w:rPr>
        <w:t>Sons of Liberty</w:t>
      </w:r>
      <w:r w:rsidR="00D564BB">
        <w:rPr>
          <w:rStyle w:val="Strong"/>
          <w:b w:val="0"/>
          <w:bCs w:val="0"/>
          <w:color w:val="111111"/>
          <w:shd w:val="clear" w:color="auto" w:fill="FFFFFF"/>
        </w:rPr>
        <w:t>’</w:t>
      </w:r>
      <w:r>
        <w:rPr>
          <w:rStyle w:val="Strong"/>
          <w:b w:val="0"/>
          <w:bCs w:val="0"/>
          <w:color w:val="111111"/>
          <w:shd w:val="clear" w:color="auto" w:fill="FFFFFF"/>
        </w:rPr>
        <w:t xml:space="preserve">, </w:t>
      </w:r>
      <w:r w:rsidR="005E3595">
        <w:rPr>
          <w:rStyle w:val="Strong"/>
          <w:b w:val="0"/>
          <w:bCs w:val="0"/>
          <w:color w:val="111111"/>
          <w:shd w:val="clear" w:color="auto" w:fill="FFFFFF"/>
        </w:rPr>
        <w:t>‘</w:t>
      </w:r>
      <w:r>
        <w:rPr>
          <w:rStyle w:val="Strong"/>
          <w:b w:val="0"/>
          <w:bCs w:val="0"/>
          <w:color w:val="111111"/>
          <w:shd w:val="clear" w:color="auto" w:fill="FFFFFF"/>
        </w:rPr>
        <w:t>[d]</w:t>
      </w:r>
      <w:proofErr w:type="spellStart"/>
      <w:r>
        <w:rPr>
          <w:rStyle w:val="Strong"/>
          <w:b w:val="0"/>
          <w:bCs w:val="0"/>
          <w:color w:val="111111"/>
          <w:shd w:val="clear" w:color="auto" w:fill="FFFFFF"/>
        </w:rPr>
        <w:t>espite</w:t>
      </w:r>
      <w:proofErr w:type="spellEnd"/>
      <w:r>
        <w:rPr>
          <w:rStyle w:val="Strong"/>
          <w:b w:val="0"/>
          <w:bCs w:val="0"/>
          <w:color w:val="111111"/>
          <w:shd w:val="clear" w:color="auto" w:fill="FFFFFF"/>
        </w:rPr>
        <w:t xml:space="preserve"> the geographical </w:t>
      </w:r>
      <w:r w:rsidR="005E3595">
        <w:rPr>
          <w:rStyle w:val="Strong"/>
          <w:b w:val="0"/>
          <w:bCs w:val="0"/>
          <w:color w:val="111111"/>
          <w:shd w:val="clear" w:color="auto" w:fill="FFFFFF"/>
        </w:rPr>
        <w:t xml:space="preserve">obstacles and cultural diversity of colonial America … encouraged colonists to form a common political movement across a thousand miles with great intensity’, in the form of </w:t>
      </w:r>
      <w:r w:rsidR="00D564BB">
        <w:rPr>
          <w:rStyle w:val="Strong"/>
          <w:b w:val="0"/>
          <w:bCs w:val="0"/>
          <w:color w:val="111111"/>
          <w:shd w:val="clear" w:color="auto" w:fill="FFFFFF"/>
        </w:rPr>
        <w:t>‘</w:t>
      </w:r>
      <w:r w:rsidR="005E3595">
        <w:rPr>
          <w:rStyle w:val="Strong"/>
          <w:b w:val="0"/>
          <w:bCs w:val="0"/>
          <w:color w:val="111111"/>
          <w:shd w:val="clear" w:color="auto" w:fill="FFFFFF"/>
        </w:rPr>
        <w:t xml:space="preserve">widespread, affiliated associations, primed for either peaceful debate or forceful action’. In other words, they had learned to speak with one voice, and that voice echoed </w:t>
      </w:r>
      <w:r w:rsidR="00D7140A">
        <w:rPr>
          <w:rStyle w:val="Strong"/>
          <w:b w:val="0"/>
          <w:bCs w:val="0"/>
          <w:color w:val="111111"/>
          <w:shd w:val="clear" w:color="auto" w:fill="FFFFFF"/>
        </w:rPr>
        <w:t xml:space="preserve">with the thoughts of the </w:t>
      </w:r>
      <w:r w:rsidR="002434A5">
        <w:rPr>
          <w:rStyle w:val="Strong"/>
          <w:b w:val="0"/>
          <w:bCs w:val="0"/>
          <w:color w:val="111111"/>
          <w:shd w:val="clear" w:color="auto" w:fill="FFFFFF"/>
        </w:rPr>
        <w:t>great political thinkers who had gone before</w:t>
      </w:r>
      <w:r w:rsidR="00C50E2C">
        <w:rPr>
          <w:rStyle w:val="Strong"/>
          <w:b w:val="0"/>
          <w:bCs w:val="0"/>
          <w:color w:val="111111"/>
          <w:shd w:val="clear" w:color="auto" w:fill="FFFFFF"/>
        </w:rPr>
        <w:t>.</w:t>
      </w:r>
      <w:r w:rsidR="002434A5">
        <w:rPr>
          <w:rStyle w:val="Strong"/>
          <w:b w:val="0"/>
          <w:bCs w:val="0"/>
          <w:color w:val="111111"/>
          <w:shd w:val="clear" w:color="auto" w:fill="FFFFFF"/>
        </w:rPr>
        <w:t xml:space="preserve"> Van Tyne, for instance, comments </w:t>
      </w:r>
      <w:r w:rsidR="00EC3F6E">
        <w:rPr>
          <w:rStyle w:val="Strong"/>
          <w:b w:val="0"/>
          <w:bCs w:val="0"/>
          <w:color w:val="111111"/>
          <w:shd w:val="clear" w:color="auto" w:fill="FFFFFF"/>
        </w:rPr>
        <w:t>on the</w:t>
      </w:r>
      <w:r w:rsidR="002434A5">
        <w:rPr>
          <w:rStyle w:val="Strong"/>
          <w:b w:val="0"/>
          <w:bCs w:val="0"/>
          <w:color w:val="111111"/>
          <w:shd w:val="clear" w:color="auto" w:fill="FFFFFF"/>
        </w:rPr>
        <w:t xml:space="preserve"> </w:t>
      </w:r>
      <w:r w:rsidR="00CD53E1">
        <w:rPr>
          <w:rStyle w:val="Strong"/>
          <w:b w:val="0"/>
          <w:bCs w:val="0"/>
          <w:color w:val="111111"/>
          <w:shd w:val="clear" w:color="auto" w:fill="FFFFFF"/>
        </w:rPr>
        <w:t>‘subtle influence’ of the:</w:t>
      </w:r>
    </w:p>
    <w:p w14:paraId="51F2F0DF" w14:textId="700F6E7B" w:rsidR="002434A5" w:rsidRDefault="002434A5" w:rsidP="00D7140A">
      <w:pPr>
        <w:autoSpaceDE w:val="0"/>
        <w:autoSpaceDN w:val="0"/>
        <w:adjustRightInd w:val="0"/>
        <w:spacing w:after="0" w:line="240" w:lineRule="auto"/>
        <w:ind w:right="-22"/>
        <w:jc w:val="both"/>
        <w:rPr>
          <w:rStyle w:val="Strong"/>
          <w:b w:val="0"/>
          <w:bCs w:val="0"/>
          <w:color w:val="111111"/>
          <w:shd w:val="clear" w:color="auto" w:fill="FFFFFF"/>
        </w:rPr>
      </w:pPr>
    </w:p>
    <w:p w14:paraId="1B0E4BDD" w14:textId="578ED6BD" w:rsidR="002434A5" w:rsidRPr="00EC3F6E" w:rsidRDefault="00EC3F6E" w:rsidP="007F55AF">
      <w:pPr>
        <w:pStyle w:val="Default"/>
        <w:ind w:left="720" w:right="662"/>
        <w:jc w:val="both"/>
        <w:rPr>
          <w:rStyle w:val="Strong"/>
          <w:rFonts w:ascii="Times New Roman" w:hAnsi="Times New Roman" w:cs="Times New Roman"/>
          <w:b w:val="0"/>
          <w:bCs w:val="0"/>
          <w:color w:val="111111"/>
          <w:shd w:val="clear" w:color="auto" w:fill="FFFFFF"/>
        </w:rPr>
      </w:pPr>
      <w:r>
        <w:rPr>
          <w:rFonts w:ascii="Times New Roman" w:hAnsi="Times New Roman" w:cs="Times New Roman"/>
          <w:color w:val="auto"/>
        </w:rPr>
        <w:t xml:space="preserve">… </w:t>
      </w:r>
      <w:r w:rsidR="002434A5" w:rsidRPr="00EC3F6E">
        <w:rPr>
          <w:rFonts w:ascii="Times New Roman" w:hAnsi="Times New Roman" w:cs="Times New Roman"/>
          <w:color w:val="auto"/>
        </w:rPr>
        <w:t xml:space="preserve">preaching by </w:t>
      </w:r>
      <w:proofErr w:type="gramStart"/>
      <w:r w:rsidR="002434A5" w:rsidRPr="00EC3F6E">
        <w:rPr>
          <w:rFonts w:ascii="Times New Roman" w:hAnsi="Times New Roman" w:cs="Times New Roman"/>
          <w:color w:val="auto"/>
        </w:rPr>
        <w:t>a large number of</w:t>
      </w:r>
      <w:proofErr w:type="gramEnd"/>
      <w:r w:rsidR="002434A5" w:rsidRPr="00EC3F6E">
        <w:rPr>
          <w:rFonts w:ascii="Times New Roman" w:hAnsi="Times New Roman" w:cs="Times New Roman"/>
          <w:color w:val="auto"/>
        </w:rPr>
        <w:t xml:space="preserve"> Congregational and Presbyterian ministers, of the doctrines of political liberty which they had learned from their study of Sydney, Milton, Locke, and </w:t>
      </w:r>
      <w:proofErr w:type="spellStart"/>
      <w:r w:rsidR="002434A5" w:rsidRPr="00EC3F6E">
        <w:rPr>
          <w:rFonts w:ascii="Times New Roman" w:hAnsi="Times New Roman" w:cs="Times New Roman"/>
          <w:color w:val="auto"/>
        </w:rPr>
        <w:t>Hoadly</w:t>
      </w:r>
      <w:proofErr w:type="spellEnd"/>
      <w:r w:rsidR="002434A5" w:rsidRPr="00EC3F6E">
        <w:rPr>
          <w:rFonts w:ascii="Times New Roman" w:hAnsi="Times New Roman" w:cs="Times New Roman"/>
          <w:color w:val="auto"/>
        </w:rPr>
        <w:t>,</w:t>
      </w:r>
      <w:r w:rsidRPr="00EC3F6E">
        <w:rPr>
          <w:rFonts w:ascii="Times New Roman" w:hAnsi="Times New Roman" w:cs="Times New Roman"/>
        </w:rPr>
        <w:t xml:space="preserve"> </w:t>
      </w:r>
      <w:r w:rsidRPr="00EC3F6E">
        <w:rPr>
          <w:rFonts w:ascii="Times New Roman" w:hAnsi="Times New Roman" w:cs="Times New Roman"/>
          <w:color w:val="auto"/>
        </w:rPr>
        <w:t>apostles of free institutions, whose teachings had never before found such receptive minds as those in America.</w:t>
      </w:r>
      <w:r>
        <w:rPr>
          <w:rFonts w:ascii="Times New Roman" w:hAnsi="Times New Roman" w:cs="Times New Roman"/>
          <w:color w:val="auto"/>
        </w:rPr>
        <w:t xml:space="preserve"> </w:t>
      </w:r>
      <w:r w:rsidRPr="00EC3F6E">
        <w:rPr>
          <w:rFonts w:ascii="Times New Roman" w:hAnsi="Times New Roman" w:cs="Times New Roman"/>
          <w:color w:val="auto"/>
        </w:rPr>
        <w:t xml:space="preserve">Most Presbyterians and Congregationalists of New England looked upon themselves as lineal descendants of the Puritans, and as such they felt bound to defend the Puritan Revolution. Bookish men, as most of the New England clergy were, found a mine of arguments, political weapons for that </w:t>
      </w:r>
      <w:proofErr w:type="spellStart"/>
      <w:r w:rsidRPr="00EC3F6E">
        <w:rPr>
          <w:rFonts w:ascii="Times New Roman" w:hAnsi="Times New Roman" w:cs="Times New Roman"/>
          <w:color w:val="auto"/>
        </w:rPr>
        <w:t>defense</w:t>
      </w:r>
      <w:proofErr w:type="spellEnd"/>
      <w:r w:rsidRPr="00EC3F6E">
        <w:rPr>
          <w:rFonts w:ascii="Times New Roman" w:hAnsi="Times New Roman" w:cs="Times New Roman"/>
          <w:color w:val="auto"/>
        </w:rPr>
        <w:t>, in the writings of Locke and Milton. Upon the mellowing of occasion, preachers rarely failed to draw upon these sources, and they often stated Locke</w:t>
      </w:r>
      <w:r>
        <w:rPr>
          <w:rFonts w:ascii="Times New Roman" w:hAnsi="Times New Roman" w:cs="Times New Roman"/>
          <w:color w:val="auto"/>
        </w:rPr>
        <w:t>’</w:t>
      </w:r>
      <w:r w:rsidRPr="00EC3F6E">
        <w:rPr>
          <w:rFonts w:ascii="Times New Roman" w:hAnsi="Times New Roman" w:cs="Times New Roman"/>
          <w:color w:val="auto"/>
        </w:rPr>
        <w:t>s theories more clearly than Locke himself.</w:t>
      </w:r>
      <w:r>
        <w:rPr>
          <w:rStyle w:val="FootnoteReference"/>
          <w:rFonts w:ascii="Times New Roman" w:hAnsi="Times New Roman" w:cs="Times New Roman"/>
          <w:color w:val="auto"/>
        </w:rPr>
        <w:footnoteReference w:id="15"/>
      </w:r>
    </w:p>
    <w:p w14:paraId="4C41FE47" w14:textId="77777777" w:rsidR="007F55AF" w:rsidRDefault="007F55AF" w:rsidP="00D7140A">
      <w:pPr>
        <w:autoSpaceDE w:val="0"/>
        <w:autoSpaceDN w:val="0"/>
        <w:adjustRightInd w:val="0"/>
        <w:spacing w:after="0" w:line="240" w:lineRule="auto"/>
        <w:ind w:right="-22"/>
        <w:jc w:val="both"/>
        <w:rPr>
          <w:rStyle w:val="Strong"/>
          <w:b w:val="0"/>
          <w:bCs w:val="0"/>
          <w:color w:val="111111"/>
          <w:shd w:val="clear" w:color="auto" w:fill="FFFFFF"/>
        </w:rPr>
      </w:pPr>
    </w:p>
    <w:p w14:paraId="091F127F" w14:textId="6969BA98" w:rsidR="002434A5" w:rsidRDefault="007F55AF" w:rsidP="00D7140A">
      <w:pPr>
        <w:autoSpaceDE w:val="0"/>
        <w:autoSpaceDN w:val="0"/>
        <w:adjustRightInd w:val="0"/>
        <w:spacing w:after="0" w:line="240" w:lineRule="auto"/>
        <w:ind w:right="-22"/>
        <w:jc w:val="both"/>
        <w:rPr>
          <w:rStyle w:val="Strong"/>
          <w:b w:val="0"/>
          <w:bCs w:val="0"/>
          <w:color w:val="111111"/>
          <w:shd w:val="clear" w:color="auto" w:fill="FFFFFF"/>
        </w:rPr>
      </w:pPr>
      <w:r>
        <w:rPr>
          <w:rStyle w:val="Strong"/>
          <w:b w:val="0"/>
          <w:bCs w:val="0"/>
          <w:color w:val="111111"/>
          <w:shd w:val="clear" w:color="auto" w:fill="FFFFFF"/>
        </w:rPr>
        <w:t>Van Tyne continues:</w:t>
      </w:r>
    </w:p>
    <w:p w14:paraId="64EF63F2" w14:textId="77777777" w:rsidR="007F55AF" w:rsidRPr="007F55AF" w:rsidRDefault="007F55AF" w:rsidP="007F55AF">
      <w:pPr>
        <w:pStyle w:val="Default"/>
        <w:rPr>
          <w:rFonts w:ascii="Times New Roman" w:hAnsi="Times New Roman" w:cs="Times New Roman"/>
        </w:rPr>
      </w:pPr>
    </w:p>
    <w:p w14:paraId="34FF53FB" w14:textId="07A67B4D" w:rsidR="002434A5" w:rsidRPr="007F55AF" w:rsidRDefault="007F55AF" w:rsidP="007F55AF">
      <w:pPr>
        <w:autoSpaceDE w:val="0"/>
        <w:autoSpaceDN w:val="0"/>
        <w:adjustRightInd w:val="0"/>
        <w:spacing w:after="0" w:line="240" w:lineRule="auto"/>
        <w:ind w:left="720" w:right="662"/>
        <w:jc w:val="both"/>
        <w:rPr>
          <w:rStyle w:val="Strong"/>
          <w:b w:val="0"/>
          <w:bCs w:val="0"/>
          <w:color w:val="111111"/>
          <w:shd w:val="clear" w:color="auto" w:fill="FFFFFF"/>
        </w:rPr>
      </w:pPr>
      <w:r w:rsidRPr="007F55AF">
        <w:t>In these sermons, the congregations were told of Locke</w:t>
      </w:r>
      <w:r>
        <w:t>’</w:t>
      </w:r>
      <w:r w:rsidRPr="007F55AF">
        <w:t>s doctrine that it was the people</w:t>
      </w:r>
      <w:r>
        <w:t>’</w:t>
      </w:r>
      <w:r w:rsidRPr="007F55AF">
        <w:t xml:space="preserve">s right to choose their own rulers and to fix the bounds of their authority. They were taught that government was accountable to the people and that the New England charter had been a compact between the sovereign and the first patentees. Samuel Davies, the eloquent Virginia preacher to whom Patrick Henry listened from his eleventh to his twenty-second year, taught that the British constitution was </w:t>
      </w:r>
      <w:r>
        <w:t>‘</w:t>
      </w:r>
      <w:r w:rsidRPr="007F55AF">
        <w:t>but the voluntary compact of sovereign and subject</w:t>
      </w:r>
      <w:r>
        <w:t>’</w:t>
      </w:r>
      <w:r w:rsidRPr="007F55AF">
        <w:t xml:space="preserve">. Henry declared, </w:t>
      </w:r>
      <w:r>
        <w:t>‘</w:t>
      </w:r>
      <w:r w:rsidRPr="007F55AF">
        <w:t>government is a conditional compact between king and people .</w:t>
      </w:r>
      <w:r w:rsidR="00FD798C">
        <w:t>.</w:t>
      </w:r>
      <w:r w:rsidRPr="007F55AF">
        <w:t>. a violation of the covenant by either party discharges the other from obligation</w:t>
      </w:r>
      <w:r w:rsidR="00E608B0">
        <w:t>’</w:t>
      </w:r>
      <w:r w:rsidRPr="007F55AF">
        <w:t>.</w:t>
      </w:r>
      <w:r>
        <w:rPr>
          <w:rStyle w:val="FootnoteReference"/>
        </w:rPr>
        <w:footnoteReference w:id="16"/>
      </w:r>
    </w:p>
    <w:p w14:paraId="0375E1BC" w14:textId="77777777" w:rsidR="002434A5" w:rsidRPr="007F55AF" w:rsidRDefault="002434A5" w:rsidP="00D7140A">
      <w:pPr>
        <w:autoSpaceDE w:val="0"/>
        <w:autoSpaceDN w:val="0"/>
        <w:adjustRightInd w:val="0"/>
        <w:spacing w:after="0" w:line="240" w:lineRule="auto"/>
        <w:ind w:right="-22"/>
        <w:jc w:val="both"/>
        <w:rPr>
          <w:color w:val="000000" w:themeColor="text1"/>
        </w:rPr>
      </w:pPr>
    </w:p>
    <w:p w14:paraId="528E395C" w14:textId="1D3A3609" w:rsidR="003F1648" w:rsidRDefault="006B6BB5" w:rsidP="004E3415">
      <w:pPr>
        <w:autoSpaceDE w:val="0"/>
        <w:autoSpaceDN w:val="0"/>
        <w:adjustRightInd w:val="0"/>
        <w:spacing w:after="0" w:line="240" w:lineRule="auto"/>
        <w:ind w:right="-22"/>
        <w:jc w:val="both"/>
        <w:rPr>
          <w:color w:val="000000" w:themeColor="text1"/>
        </w:rPr>
      </w:pPr>
      <w:r>
        <w:rPr>
          <w:color w:val="000000" w:themeColor="text1"/>
        </w:rPr>
        <w:t>T</w:t>
      </w:r>
      <w:r w:rsidR="00E608B0">
        <w:rPr>
          <w:color w:val="000000" w:themeColor="text1"/>
        </w:rPr>
        <w:t xml:space="preserve">he dissent </w:t>
      </w:r>
      <w:r>
        <w:rPr>
          <w:color w:val="000000" w:themeColor="text1"/>
        </w:rPr>
        <w:t>thu</w:t>
      </w:r>
      <w:r w:rsidR="00E608B0">
        <w:rPr>
          <w:color w:val="000000" w:themeColor="text1"/>
        </w:rPr>
        <w:t xml:space="preserve">s </w:t>
      </w:r>
      <w:r>
        <w:rPr>
          <w:color w:val="000000" w:themeColor="text1"/>
        </w:rPr>
        <w:t>appeared to adopt certain tones and language</w:t>
      </w:r>
      <w:r w:rsidR="00E608B0">
        <w:rPr>
          <w:color w:val="000000" w:themeColor="text1"/>
        </w:rPr>
        <w:t xml:space="preserve">. </w:t>
      </w:r>
      <w:r w:rsidR="0066246E">
        <w:rPr>
          <w:color w:val="000000" w:themeColor="text1"/>
        </w:rPr>
        <w:t xml:space="preserve">Many more similar examples might be cited. </w:t>
      </w:r>
      <w:r w:rsidR="00E608B0">
        <w:rPr>
          <w:color w:val="000000" w:themeColor="text1"/>
        </w:rPr>
        <w:t>The concerted movement against the Stamp Act was successful in securing its repeal in 1766, only a few months after its introduction</w:t>
      </w:r>
      <w:r w:rsidR="00974657">
        <w:rPr>
          <w:color w:val="000000" w:themeColor="text1"/>
        </w:rPr>
        <w:t xml:space="preserve"> </w:t>
      </w:r>
      <w:r w:rsidR="009706A5">
        <w:rPr>
          <w:color w:val="000000" w:themeColor="text1"/>
        </w:rPr>
        <w:t xml:space="preserve">– and </w:t>
      </w:r>
      <w:r w:rsidR="00974657">
        <w:rPr>
          <w:color w:val="000000" w:themeColor="text1"/>
        </w:rPr>
        <w:t>provided a</w:t>
      </w:r>
      <w:r w:rsidR="009706A5">
        <w:rPr>
          <w:color w:val="000000" w:themeColor="text1"/>
        </w:rPr>
        <w:t xml:space="preserve"> basis of th</w:t>
      </w:r>
      <w:r w:rsidR="00974657">
        <w:rPr>
          <w:color w:val="000000" w:themeColor="text1"/>
        </w:rPr>
        <w:t xml:space="preserve">e subsequent </w:t>
      </w:r>
      <w:r w:rsidR="009706A5">
        <w:rPr>
          <w:color w:val="000000" w:themeColor="text1"/>
        </w:rPr>
        <w:t>protest</w:t>
      </w:r>
      <w:r w:rsidR="00974657">
        <w:rPr>
          <w:color w:val="000000" w:themeColor="text1"/>
        </w:rPr>
        <w:t xml:space="preserve">s against the Townshend Acts </w:t>
      </w:r>
      <w:r w:rsidR="0066246E">
        <w:rPr>
          <w:color w:val="000000" w:themeColor="text1"/>
        </w:rPr>
        <w:t>(1767–</w:t>
      </w:r>
      <w:r w:rsidR="0075146B">
        <w:rPr>
          <w:color w:val="000000" w:themeColor="text1"/>
        </w:rPr>
        <w:t>6</w:t>
      </w:r>
      <w:r w:rsidR="0066246E">
        <w:rPr>
          <w:color w:val="000000" w:themeColor="text1"/>
        </w:rPr>
        <w:t xml:space="preserve">8) </w:t>
      </w:r>
      <w:r w:rsidR="00974657">
        <w:rPr>
          <w:color w:val="000000" w:themeColor="text1"/>
        </w:rPr>
        <w:t xml:space="preserve">and the </w:t>
      </w:r>
      <w:r w:rsidR="0066246E">
        <w:rPr>
          <w:color w:val="000000" w:themeColor="text1"/>
        </w:rPr>
        <w:t xml:space="preserve">later, </w:t>
      </w:r>
      <w:r w:rsidR="00974657">
        <w:rPr>
          <w:color w:val="000000" w:themeColor="text1"/>
        </w:rPr>
        <w:t>Tea Act</w:t>
      </w:r>
      <w:r w:rsidR="0066246E">
        <w:rPr>
          <w:color w:val="000000" w:themeColor="text1"/>
        </w:rPr>
        <w:t xml:space="preserve"> of 1773</w:t>
      </w:r>
      <w:r w:rsidR="00C47834">
        <w:rPr>
          <w:color w:val="000000" w:themeColor="text1"/>
        </w:rPr>
        <w:t>.</w:t>
      </w:r>
      <w:r w:rsidR="00373099">
        <w:rPr>
          <w:rStyle w:val="FootnoteReference"/>
          <w:color w:val="000000" w:themeColor="text1"/>
        </w:rPr>
        <w:footnoteReference w:id="17"/>
      </w:r>
      <w:r w:rsidR="00C47834">
        <w:rPr>
          <w:color w:val="000000" w:themeColor="text1"/>
        </w:rPr>
        <w:t xml:space="preserve"> </w:t>
      </w:r>
      <w:r w:rsidR="00C47834">
        <w:t xml:space="preserve">The Townshend Acts were a series of four Acts of Parliament (some would include </w:t>
      </w:r>
      <w:r w:rsidR="004B4AAC">
        <w:t>t</w:t>
      </w:r>
      <w:r w:rsidR="00C47834">
        <w:t xml:space="preserve">he New York Restraining Act of </w:t>
      </w:r>
      <w:r w:rsidR="00373099">
        <w:t>1767</w:t>
      </w:r>
      <w:r w:rsidR="00C47834">
        <w:t xml:space="preserve"> as a fifth),</w:t>
      </w:r>
      <w:r w:rsidR="009706A5">
        <w:rPr>
          <w:color w:val="000000" w:themeColor="text1"/>
        </w:rPr>
        <w:t xml:space="preserve"> </w:t>
      </w:r>
      <w:r w:rsidR="00C47834">
        <w:rPr>
          <w:color w:val="000000" w:themeColor="text1"/>
        </w:rPr>
        <w:t>which imposed</w:t>
      </w:r>
      <w:r w:rsidR="004B4AAC">
        <w:rPr>
          <w:color w:val="000000" w:themeColor="text1"/>
        </w:rPr>
        <w:t xml:space="preserve"> duties on items such as paper, glass, tea and other staple goods.</w:t>
      </w:r>
      <w:r w:rsidR="00373099">
        <w:rPr>
          <w:color w:val="000000" w:themeColor="text1"/>
        </w:rPr>
        <w:t xml:space="preserve"> Given the sentiments </w:t>
      </w:r>
      <w:r w:rsidR="0047036C">
        <w:rPr>
          <w:color w:val="000000" w:themeColor="text1"/>
        </w:rPr>
        <w:t>expressed</w:t>
      </w:r>
      <w:r w:rsidR="006341B8">
        <w:rPr>
          <w:color w:val="000000" w:themeColor="text1"/>
        </w:rPr>
        <w:t xml:space="preserve"> above by Samuel Adams, the actions taken by the British </w:t>
      </w:r>
      <w:r w:rsidR="00C03799">
        <w:rPr>
          <w:color w:val="000000" w:themeColor="text1"/>
        </w:rPr>
        <w:t>G</w:t>
      </w:r>
      <w:r w:rsidR="006341B8">
        <w:rPr>
          <w:color w:val="000000" w:themeColor="text1"/>
        </w:rPr>
        <w:t xml:space="preserve">overnment show how out of touch it was with grass-roots colonial opinion. Most of the Townshend Acts had been repealed by 1770, </w:t>
      </w:r>
      <w:proofErr w:type="gramStart"/>
      <w:r w:rsidR="0066246E">
        <w:rPr>
          <w:color w:val="000000" w:themeColor="text1"/>
        </w:rPr>
        <w:t>as a result of</w:t>
      </w:r>
      <w:proofErr w:type="gramEnd"/>
      <w:r w:rsidR="0066246E">
        <w:rPr>
          <w:color w:val="000000" w:themeColor="text1"/>
        </w:rPr>
        <w:t xml:space="preserve"> protest movements similar to those that were successful against the Stamp Duty – </w:t>
      </w:r>
      <w:r w:rsidR="006341B8">
        <w:rPr>
          <w:color w:val="000000" w:themeColor="text1"/>
        </w:rPr>
        <w:t xml:space="preserve">except that the tea duty remained. The </w:t>
      </w:r>
      <w:r w:rsidR="0066246E">
        <w:rPr>
          <w:color w:val="000000" w:themeColor="text1"/>
        </w:rPr>
        <w:t>1773 Tea Act lowered the tea duty – but was designed primarily to</w:t>
      </w:r>
      <w:r w:rsidR="003F1648">
        <w:rPr>
          <w:color w:val="000000" w:themeColor="text1"/>
        </w:rPr>
        <w:t xml:space="preserve"> help the British East India Company sell </w:t>
      </w:r>
      <w:r w:rsidR="00D564BB">
        <w:rPr>
          <w:color w:val="000000" w:themeColor="text1"/>
        </w:rPr>
        <w:t>the</w:t>
      </w:r>
      <w:r w:rsidR="003F1648">
        <w:rPr>
          <w:color w:val="000000" w:themeColor="text1"/>
        </w:rPr>
        <w:t xml:space="preserve"> stockpile</w:t>
      </w:r>
      <w:r w:rsidR="00D564BB">
        <w:rPr>
          <w:color w:val="000000" w:themeColor="text1"/>
        </w:rPr>
        <w:t>d</w:t>
      </w:r>
      <w:r w:rsidR="003F1648">
        <w:rPr>
          <w:color w:val="000000" w:themeColor="text1"/>
        </w:rPr>
        <w:t xml:space="preserve"> tea </w:t>
      </w:r>
      <w:r w:rsidR="00D564BB">
        <w:rPr>
          <w:color w:val="000000" w:themeColor="text1"/>
        </w:rPr>
        <w:t xml:space="preserve">that was </w:t>
      </w:r>
      <w:r w:rsidR="003F1648">
        <w:rPr>
          <w:color w:val="000000" w:themeColor="text1"/>
        </w:rPr>
        <w:t>held in its London warehouses (</w:t>
      </w:r>
      <w:r w:rsidR="00D564BB">
        <w:rPr>
          <w:color w:val="000000" w:themeColor="text1"/>
        </w:rPr>
        <w:t xml:space="preserve">the company </w:t>
      </w:r>
      <w:r w:rsidR="003F1648">
        <w:rPr>
          <w:color w:val="000000" w:themeColor="text1"/>
        </w:rPr>
        <w:t>was in financial straits</w:t>
      </w:r>
      <w:proofErr w:type="gramStart"/>
      <w:r w:rsidR="003F1648">
        <w:rPr>
          <w:color w:val="000000" w:themeColor="text1"/>
        </w:rPr>
        <w:t>), and</w:t>
      </w:r>
      <w:proofErr w:type="gramEnd"/>
      <w:r w:rsidR="003F1648">
        <w:rPr>
          <w:color w:val="000000" w:themeColor="text1"/>
        </w:rPr>
        <w:t xml:space="preserve"> undercut the price of untaxed Dutch tea that was being smuggled into the colonies.</w:t>
      </w:r>
      <w:r w:rsidR="009C4934">
        <w:rPr>
          <w:color w:val="000000" w:themeColor="text1"/>
        </w:rPr>
        <w:t xml:space="preserve"> The</w:t>
      </w:r>
      <w:r w:rsidR="005D1A9B">
        <w:rPr>
          <w:color w:val="000000" w:themeColor="text1"/>
        </w:rPr>
        <w:t xml:space="preserve"> resultant Boston Tea Party, so-called, in which the ‘Sons of Liberty’ were also involved, provoked the British government into passing</w:t>
      </w:r>
      <w:r w:rsidR="00805FAB">
        <w:rPr>
          <w:color w:val="000000" w:themeColor="text1"/>
        </w:rPr>
        <w:t>,</w:t>
      </w:r>
      <w:r w:rsidR="005D1A9B">
        <w:rPr>
          <w:color w:val="000000" w:themeColor="text1"/>
        </w:rPr>
        <w:t xml:space="preserve"> in 1774</w:t>
      </w:r>
      <w:r w:rsidR="00D564BB">
        <w:rPr>
          <w:color w:val="000000" w:themeColor="text1"/>
        </w:rPr>
        <w:t>–</w:t>
      </w:r>
      <w:r w:rsidR="001E6A75">
        <w:rPr>
          <w:color w:val="000000" w:themeColor="text1"/>
        </w:rPr>
        <w:t>5</w:t>
      </w:r>
      <w:r w:rsidR="00805FAB">
        <w:rPr>
          <w:color w:val="000000" w:themeColor="text1"/>
        </w:rPr>
        <w:t>,</w:t>
      </w:r>
      <w:r w:rsidR="001E6A75">
        <w:rPr>
          <w:color w:val="000000" w:themeColor="text1"/>
        </w:rPr>
        <w:t xml:space="preserve"> what became known as the Intolerable Acts (or Coercive Acts),</w:t>
      </w:r>
      <w:r w:rsidR="001E6A75">
        <w:rPr>
          <w:rStyle w:val="FootnoteReference"/>
          <w:color w:val="000000" w:themeColor="text1"/>
        </w:rPr>
        <w:footnoteReference w:id="18"/>
      </w:r>
      <w:r w:rsidR="001E6A75">
        <w:rPr>
          <w:color w:val="000000" w:themeColor="text1"/>
        </w:rPr>
        <w:t xml:space="preserve"> designed primarily as punitive measures against the colonists, curtailing many political </w:t>
      </w:r>
      <w:r w:rsidR="00000267">
        <w:rPr>
          <w:color w:val="000000" w:themeColor="text1"/>
        </w:rPr>
        <w:t xml:space="preserve">and civic </w:t>
      </w:r>
      <w:r w:rsidR="001E6A75">
        <w:rPr>
          <w:color w:val="000000" w:themeColor="text1"/>
        </w:rPr>
        <w:t>freedoms.</w:t>
      </w:r>
      <w:r w:rsidR="00122122">
        <w:rPr>
          <w:color w:val="000000" w:themeColor="text1"/>
        </w:rPr>
        <w:t xml:space="preserve"> It must not be forgotten that the ancestors of many of the colonial residents against whom these measure</w:t>
      </w:r>
      <w:r w:rsidR="00000267">
        <w:rPr>
          <w:color w:val="000000" w:themeColor="text1"/>
        </w:rPr>
        <w:t>s</w:t>
      </w:r>
      <w:r w:rsidR="00122122">
        <w:rPr>
          <w:color w:val="000000" w:themeColor="text1"/>
        </w:rPr>
        <w:t xml:space="preserve"> were </w:t>
      </w:r>
      <w:r w:rsidR="00000267">
        <w:rPr>
          <w:color w:val="000000" w:themeColor="text1"/>
        </w:rPr>
        <w:t xml:space="preserve">directed </w:t>
      </w:r>
      <w:r w:rsidR="00C21644">
        <w:rPr>
          <w:color w:val="000000" w:themeColor="text1"/>
        </w:rPr>
        <w:t xml:space="preserve">had </w:t>
      </w:r>
      <w:r w:rsidR="00000267">
        <w:rPr>
          <w:color w:val="000000" w:themeColor="text1"/>
        </w:rPr>
        <w:t xml:space="preserve">sought refuge in the colonies from religious and political regimes </w:t>
      </w:r>
      <w:r w:rsidR="00C855E4">
        <w:rPr>
          <w:color w:val="000000" w:themeColor="text1"/>
        </w:rPr>
        <w:t xml:space="preserve">that </w:t>
      </w:r>
      <w:r w:rsidR="00000267">
        <w:rPr>
          <w:color w:val="000000" w:themeColor="text1"/>
        </w:rPr>
        <w:t xml:space="preserve">they had found oppressive – origins which </w:t>
      </w:r>
      <w:r w:rsidR="00D564BB">
        <w:rPr>
          <w:color w:val="000000" w:themeColor="text1"/>
        </w:rPr>
        <w:t xml:space="preserve">were, </w:t>
      </w:r>
      <w:r w:rsidR="00000267">
        <w:rPr>
          <w:color w:val="000000" w:themeColor="text1"/>
        </w:rPr>
        <w:t>arguably</w:t>
      </w:r>
      <w:r w:rsidR="00D564BB">
        <w:rPr>
          <w:color w:val="000000" w:themeColor="text1"/>
        </w:rPr>
        <w:t>,</w:t>
      </w:r>
      <w:r w:rsidR="00000267">
        <w:rPr>
          <w:color w:val="000000" w:themeColor="text1"/>
        </w:rPr>
        <w:t xml:space="preserve"> indelibly etched into the colonial psyche</w:t>
      </w:r>
      <w:r w:rsidR="00EF38EE">
        <w:rPr>
          <w:color w:val="000000" w:themeColor="text1"/>
        </w:rPr>
        <w:t>, and would help form</w:t>
      </w:r>
      <w:r w:rsidR="00000267">
        <w:rPr>
          <w:color w:val="000000" w:themeColor="text1"/>
        </w:rPr>
        <w:t xml:space="preserve"> </w:t>
      </w:r>
      <w:r w:rsidR="00EF38EE">
        <w:rPr>
          <w:color w:val="000000" w:themeColor="text1"/>
        </w:rPr>
        <w:t>a burgeoning national identity.</w:t>
      </w:r>
    </w:p>
    <w:p w14:paraId="58F31269" w14:textId="00162216" w:rsidR="005D1A9B" w:rsidRDefault="005D1A9B" w:rsidP="00975692">
      <w:pPr>
        <w:autoSpaceDE w:val="0"/>
        <w:autoSpaceDN w:val="0"/>
        <w:adjustRightInd w:val="0"/>
        <w:spacing w:after="0" w:line="240" w:lineRule="auto"/>
        <w:ind w:right="-22"/>
        <w:jc w:val="both"/>
        <w:rPr>
          <w:color w:val="000000" w:themeColor="text1"/>
        </w:rPr>
      </w:pPr>
    </w:p>
    <w:p w14:paraId="2B521D0D" w14:textId="7076FBCE" w:rsidR="004E3415" w:rsidRDefault="00975692" w:rsidP="004D1E81">
      <w:pPr>
        <w:autoSpaceDE w:val="0"/>
        <w:autoSpaceDN w:val="0"/>
        <w:adjustRightInd w:val="0"/>
        <w:spacing w:after="0" w:line="240" w:lineRule="auto"/>
        <w:ind w:right="-22" w:firstLine="720"/>
        <w:jc w:val="both"/>
        <w:rPr>
          <w:color w:val="000000" w:themeColor="text1"/>
        </w:rPr>
      </w:pPr>
      <w:r>
        <w:rPr>
          <w:color w:val="000000" w:themeColor="text1"/>
        </w:rPr>
        <w:t>It is important to note that at first</w:t>
      </w:r>
      <w:r w:rsidRPr="00975692">
        <w:rPr>
          <w:color w:val="000000" w:themeColor="text1"/>
        </w:rPr>
        <w:t xml:space="preserve"> the colonists </w:t>
      </w:r>
      <w:r>
        <w:rPr>
          <w:color w:val="000000" w:themeColor="text1"/>
        </w:rPr>
        <w:t>had no desire for</w:t>
      </w:r>
      <w:r w:rsidRPr="00975692">
        <w:rPr>
          <w:color w:val="000000" w:themeColor="text1"/>
        </w:rPr>
        <w:t xml:space="preserve"> independence, but </w:t>
      </w:r>
      <w:r>
        <w:rPr>
          <w:color w:val="000000" w:themeColor="text1"/>
        </w:rPr>
        <w:t xml:space="preserve">merely wanted a </w:t>
      </w:r>
      <w:r w:rsidRPr="00975692">
        <w:rPr>
          <w:color w:val="000000" w:themeColor="text1"/>
        </w:rPr>
        <w:t xml:space="preserve">greater </w:t>
      </w:r>
      <w:r>
        <w:rPr>
          <w:color w:val="000000" w:themeColor="text1"/>
        </w:rPr>
        <w:t xml:space="preserve">degree of </w:t>
      </w:r>
      <w:r w:rsidRPr="00975692">
        <w:rPr>
          <w:color w:val="000000" w:themeColor="text1"/>
        </w:rPr>
        <w:t>control over their own affairs, especially taxes</w:t>
      </w:r>
      <w:r>
        <w:rPr>
          <w:color w:val="000000" w:themeColor="text1"/>
        </w:rPr>
        <w:t>. The pamphlet by</w:t>
      </w:r>
      <w:r w:rsidRPr="00975692">
        <w:rPr>
          <w:color w:val="000000" w:themeColor="text1"/>
        </w:rPr>
        <w:t xml:space="preserve"> Thomas Paine</w:t>
      </w:r>
      <w:r>
        <w:rPr>
          <w:color w:val="000000" w:themeColor="text1"/>
        </w:rPr>
        <w:t>, published in 1776,</w:t>
      </w:r>
      <w:r w:rsidRPr="00975692">
        <w:rPr>
          <w:color w:val="000000" w:themeColor="text1"/>
        </w:rPr>
        <w:t xml:space="preserve"> </w:t>
      </w:r>
      <w:r w:rsidRPr="00975692">
        <w:rPr>
          <w:i/>
          <w:iCs/>
          <w:color w:val="000000" w:themeColor="text1"/>
        </w:rPr>
        <w:t>Common Sense</w:t>
      </w:r>
      <w:r>
        <w:rPr>
          <w:color w:val="000000" w:themeColor="text1"/>
        </w:rPr>
        <w:t>,</w:t>
      </w:r>
      <w:r w:rsidR="00E11453">
        <w:rPr>
          <w:rStyle w:val="FootnoteReference"/>
          <w:color w:val="000000" w:themeColor="text1"/>
        </w:rPr>
        <w:footnoteReference w:id="19"/>
      </w:r>
      <w:r>
        <w:rPr>
          <w:color w:val="000000" w:themeColor="text1"/>
        </w:rPr>
        <w:t xml:space="preserve"> </w:t>
      </w:r>
      <w:r w:rsidRPr="00975692">
        <w:rPr>
          <w:color w:val="000000" w:themeColor="text1"/>
        </w:rPr>
        <w:t>was</w:t>
      </w:r>
      <w:r>
        <w:rPr>
          <w:color w:val="000000" w:themeColor="text1"/>
        </w:rPr>
        <w:t xml:space="preserve"> key</w:t>
      </w:r>
      <w:r w:rsidRPr="00975692">
        <w:rPr>
          <w:color w:val="000000" w:themeColor="text1"/>
        </w:rPr>
        <w:t xml:space="preserve"> </w:t>
      </w:r>
      <w:r>
        <w:rPr>
          <w:color w:val="000000" w:themeColor="text1"/>
        </w:rPr>
        <w:t>to the</w:t>
      </w:r>
      <w:r w:rsidRPr="00975692">
        <w:rPr>
          <w:color w:val="000000" w:themeColor="text1"/>
        </w:rPr>
        <w:t xml:space="preserve"> view that the colonists owed nothing to Britain. </w:t>
      </w:r>
      <w:r w:rsidRPr="00975692">
        <w:rPr>
          <w:i/>
          <w:iCs/>
          <w:color w:val="000000" w:themeColor="text1"/>
        </w:rPr>
        <w:t>Common Sense</w:t>
      </w:r>
      <w:r w:rsidRPr="00975692">
        <w:rPr>
          <w:color w:val="000000" w:themeColor="text1"/>
        </w:rPr>
        <w:t xml:space="preserve"> was a polemic, </w:t>
      </w:r>
      <w:r w:rsidR="00E11453">
        <w:rPr>
          <w:color w:val="000000" w:themeColor="text1"/>
        </w:rPr>
        <w:t>reasoned, albeit radical</w:t>
      </w:r>
      <w:r w:rsidR="00CF3730">
        <w:rPr>
          <w:color w:val="000000" w:themeColor="text1"/>
        </w:rPr>
        <w:t>,</w:t>
      </w:r>
      <w:r w:rsidR="00E11453">
        <w:rPr>
          <w:color w:val="000000" w:themeColor="text1"/>
        </w:rPr>
        <w:t xml:space="preserve"> that </w:t>
      </w:r>
      <w:r w:rsidRPr="00975692">
        <w:rPr>
          <w:color w:val="000000" w:themeColor="text1"/>
        </w:rPr>
        <w:t>argu</w:t>
      </w:r>
      <w:r w:rsidR="00E11453">
        <w:rPr>
          <w:color w:val="000000" w:themeColor="text1"/>
        </w:rPr>
        <w:t>ed</w:t>
      </w:r>
      <w:r w:rsidRPr="00975692">
        <w:rPr>
          <w:color w:val="000000" w:themeColor="text1"/>
        </w:rPr>
        <w:t xml:space="preserve"> </w:t>
      </w:r>
      <w:r w:rsidR="00E11453">
        <w:rPr>
          <w:color w:val="000000" w:themeColor="text1"/>
        </w:rPr>
        <w:t xml:space="preserve">with conviction </w:t>
      </w:r>
      <w:r w:rsidRPr="00975692">
        <w:rPr>
          <w:color w:val="000000" w:themeColor="text1"/>
        </w:rPr>
        <w:t xml:space="preserve">against </w:t>
      </w:r>
      <w:r w:rsidR="00E11453">
        <w:rPr>
          <w:color w:val="000000" w:themeColor="text1"/>
        </w:rPr>
        <w:t>a monarchical rule from Great Britain and in favour of separating</w:t>
      </w:r>
      <w:r w:rsidRPr="00975692">
        <w:rPr>
          <w:color w:val="000000" w:themeColor="text1"/>
        </w:rPr>
        <w:t xml:space="preserve"> America from Great Britain</w:t>
      </w:r>
      <w:r w:rsidR="00E11453">
        <w:rPr>
          <w:color w:val="000000" w:themeColor="text1"/>
        </w:rPr>
        <w:t>. It was hugely</w:t>
      </w:r>
      <w:r w:rsidRPr="00975692">
        <w:rPr>
          <w:color w:val="000000" w:themeColor="text1"/>
        </w:rPr>
        <w:t xml:space="preserve"> influential in turning </w:t>
      </w:r>
      <w:r w:rsidR="00E11453">
        <w:rPr>
          <w:color w:val="000000" w:themeColor="text1"/>
        </w:rPr>
        <w:t xml:space="preserve">the tide of </w:t>
      </w:r>
      <w:r w:rsidRPr="00975692">
        <w:rPr>
          <w:color w:val="000000" w:themeColor="text1"/>
        </w:rPr>
        <w:t xml:space="preserve">public opinion </w:t>
      </w:r>
      <w:r w:rsidR="00E11453">
        <w:rPr>
          <w:color w:val="000000" w:themeColor="text1"/>
        </w:rPr>
        <w:t>in favour of</w:t>
      </w:r>
      <w:r w:rsidRPr="00975692">
        <w:rPr>
          <w:color w:val="000000" w:themeColor="text1"/>
        </w:rPr>
        <w:t xml:space="preserve"> independence</w:t>
      </w:r>
      <w:r w:rsidR="00C855E4">
        <w:rPr>
          <w:color w:val="000000" w:themeColor="text1"/>
        </w:rPr>
        <w:t xml:space="preserve">. </w:t>
      </w:r>
      <w:r w:rsidR="00D8739F">
        <w:rPr>
          <w:color w:val="000000" w:themeColor="text1"/>
        </w:rPr>
        <w:t xml:space="preserve">Paine’s work was so influential that he is often considered as being one of the US Founding Fathers. Though himself English, at the invitation of Benjamin Franklin, he moved to America and took an active part in </w:t>
      </w:r>
      <w:r w:rsidR="0060478A">
        <w:rPr>
          <w:color w:val="000000" w:themeColor="text1"/>
        </w:rPr>
        <w:t>the struggle for independence.</w:t>
      </w:r>
    </w:p>
    <w:p w14:paraId="0B3D7EFD" w14:textId="513D5F30" w:rsidR="0060478A" w:rsidRDefault="0060478A" w:rsidP="00304007">
      <w:pPr>
        <w:autoSpaceDE w:val="0"/>
        <w:autoSpaceDN w:val="0"/>
        <w:adjustRightInd w:val="0"/>
        <w:spacing w:after="0" w:line="240" w:lineRule="auto"/>
        <w:ind w:right="-22"/>
        <w:jc w:val="both"/>
        <w:rPr>
          <w:color w:val="000000" w:themeColor="text1"/>
        </w:rPr>
      </w:pPr>
    </w:p>
    <w:p w14:paraId="3A79A5E1" w14:textId="77777777" w:rsidR="0060478A" w:rsidRDefault="0060478A" w:rsidP="00304007">
      <w:pPr>
        <w:autoSpaceDE w:val="0"/>
        <w:autoSpaceDN w:val="0"/>
        <w:adjustRightInd w:val="0"/>
        <w:spacing w:after="0" w:line="240" w:lineRule="auto"/>
        <w:ind w:right="-22"/>
        <w:jc w:val="both"/>
        <w:rPr>
          <w:color w:val="000000" w:themeColor="text1"/>
        </w:rPr>
      </w:pPr>
    </w:p>
    <w:p w14:paraId="63ACF506" w14:textId="5D26041E" w:rsidR="004E3415" w:rsidRDefault="00214DB8" w:rsidP="004E3415">
      <w:pPr>
        <w:autoSpaceDE w:val="0"/>
        <w:autoSpaceDN w:val="0"/>
        <w:adjustRightInd w:val="0"/>
        <w:spacing w:after="0" w:line="240" w:lineRule="auto"/>
        <w:ind w:right="-22"/>
        <w:jc w:val="center"/>
        <w:rPr>
          <w:color w:val="000000" w:themeColor="text1"/>
        </w:rPr>
      </w:pPr>
      <w:r>
        <w:rPr>
          <w:color w:val="000000" w:themeColor="text1"/>
        </w:rPr>
        <w:t>COLONIAL TAXES</w:t>
      </w:r>
    </w:p>
    <w:p w14:paraId="398CDF3A" w14:textId="6C5C99E5" w:rsidR="004E3415" w:rsidRDefault="004E3415" w:rsidP="004E3415">
      <w:pPr>
        <w:autoSpaceDE w:val="0"/>
        <w:autoSpaceDN w:val="0"/>
        <w:adjustRightInd w:val="0"/>
        <w:spacing w:after="0" w:line="240" w:lineRule="auto"/>
        <w:ind w:right="-22"/>
        <w:jc w:val="both"/>
        <w:rPr>
          <w:color w:val="000000" w:themeColor="text1"/>
        </w:rPr>
      </w:pPr>
    </w:p>
    <w:p w14:paraId="0EE6EC43" w14:textId="4F7D5C8E" w:rsidR="00214DB8" w:rsidRDefault="00214DB8" w:rsidP="00D718AA">
      <w:pPr>
        <w:autoSpaceDE w:val="0"/>
        <w:autoSpaceDN w:val="0"/>
        <w:adjustRightInd w:val="0"/>
        <w:spacing w:after="0" w:line="240" w:lineRule="auto"/>
        <w:ind w:right="-22"/>
        <w:jc w:val="both"/>
        <w:rPr>
          <w:rStyle w:val="Strong"/>
          <w:b w:val="0"/>
          <w:bCs w:val="0"/>
          <w:color w:val="111111"/>
          <w:shd w:val="clear" w:color="auto" w:fill="FFFFFF"/>
        </w:rPr>
      </w:pPr>
      <w:r>
        <w:rPr>
          <w:rStyle w:val="Strong"/>
          <w:b w:val="0"/>
          <w:bCs w:val="0"/>
          <w:color w:val="111111"/>
          <w:shd w:val="clear" w:color="auto" w:fill="FFFFFF"/>
        </w:rPr>
        <w:t>Oats and Sadler</w:t>
      </w:r>
      <w:r w:rsidR="00D718AA">
        <w:rPr>
          <w:rStyle w:val="Strong"/>
          <w:b w:val="0"/>
          <w:bCs w:val="0"/>
          <w:color w:val="111111"/>
          <w:shd w:val="clear" w:color="auto" w:fill="FFFFFF"/>
        </w:rPr>
        <w:t>,</w:t>
      </w:r>
      <w:r>
        <w:rPr>
          <w:rStyle w:val="FootnoteReference"/>
          <w:color w:val="111111"/>
          <w:shd w:val="clear" w:color="auto" w:fill="FFFFFF"/>
        </w:rPr>
        <w:footnoteReference w:id="20"/>
      </w:r>
      <w:r w:rsidR="00D718AA">
        <w:rPr>
          <w:rStyle w:val="Strong"/>
          <w:b w:val="0"/>
          <w:bCs w:val="0"/>
          <w:color w:val="111111"/>
          <w:shd w:val="clear" w:color="auto" w:fill="FFFFFF"/>
        </w:rPr>
        <w:t xml:space="preserve"> in relation to the Stamp Act, comment on the</w:t>
      </w:r>
      <w:r>
        <w:rPr>
          <w:rStyle w:val="Strong"/>
          <w:b w:val="0"/>
          <w:bCs w:val="0"/>
          <w:color w:val="111111"/>
          <w:shd w:val="clear" w:color="auto" w:fill="FFFFFF"/>
        </w:rPr>
        <w:t xml:space="preserve"> attempts to make the tax acceptable to colonists. In the latter regard, the total tax was quite small; it was considered an equitable tax; differences in the colonial situation were considered prior to imposition; leading colonial administrators would deal with it; the tax would, possibly, stay in the colonies;</w:t>
      </w:r>
      <w:r>
        <w:rPr>
          <w:rStyle w:val="FootnoteReference"/>
          <w:color w:val="111111"/>
          <w:shd w:val="clear" w:color="auto" w:fill="FFFFFF"/>
        </w:rPr>
        <w:footnoteReference w:id="21"/>
      </w:r>
      <w:r>
        <w:rPr>
          <w:rStyle w:val="Strong"/>
          <w:b w:val="0"/>
          <w:bCs w:val="0"/>
          <w:color w:val="111111"/>
          <w:shd w:val="clear" w:color="auto" w:fill="FFFFFF"/>
        </w:rPr>
        <w:t xml:space="preserve"> and stamp duties had been used before, by the colonists themselves, in Massachusetts in 1755 and New York in 1757. The New York tax was a halfpenny (1/2d) tax per copy on newspapers.</w:t>
      </w:r>
      <w:r>
        <w:rPr>
          <w:rStyle w:val="FootnoteReference"/>
          <w:color w:val="111111"/>
          <w:shd w:val="clear" w:color="auto" w:fill="FFFFFF"/>
        </w:rPr>
        <w:footnoteReference w:id="22"/>
      </w:r>
      <w:r>
        <w:rPr>
          <w:rStyle w:val="Strong"/>
          <w:b w:val="0"/>
          <w:bCs w:val="0"/>
          <w:color w:val="111111"/>
          <w:shd w:val="clear" w:color="auto" w:fill="FFFFFF"/>
        </w:rPr>
        <w:t xml:space="preserve"> However, Oats and Sadler</w:t>
      </w:r>
      <w:r>
        <w:rPr>
          <w:rStyle w:val="FootnoteReference"/>
          <w:color w:val="111111"/>
          <w:shd w:val="clear" w:color="auto" w:fill="FFFFFF"/>
        </w:rPr>
        <w:footnoteReference w:id="23"/>
      </w:r>
      <w:r>
        <w:rPr>
          <w:rStyle w:val="Strong"/>
          <w:b w:val="0"/>
          <w:bCs w:val="0"/>
          <w:color w:val="111111"/>
          <w:shd w:val="clear" w:color="auto" w:fill="FFFFFF"/>
        </w:rPr>
        <w:t xml:space="preserve"> also comment that:</w:t>
      </w:r>
    </w:p>
    <w:p w14:paraId="4C0278EB" w14:textId="77777777" w:rsidR="00214DB8" w:rsidRDefault="00214DB8" w:rsidP="00214DB8">
      <w:pPr>
        <w:autoSpaceDE w:val="0"/>
        <w:autoSpaceDN w:val="0"/>
        <w:adjustRightInd w:val="0"/>
        <w:spacing w:after="0" w:line="240" w:lineRule="auto"/>
        <w:ind w:right="-22"/>
        <w:jc w:val="both"/>
        <w:rPr>
          <w:rStyle w:val="Strong"/>
          <w:b w:val="0"/>
          <w:bCs w:val="0"/>
          <w:color w:val="111111"/>
          <w:shd w:val="clear" w:color="auto" w:fill="FFFFFF"/>
        </w:rPr>
      </w:pPr>
    </w:p>
    <w:p w14:paraId="15E59A27" w14:textId="2C74E854" w:rsidR="00214DB8" w:rsidRDefault="00214DB8" w:rsidP="00214DB8">
      <w:pPr>
        <w:autoSpaceDE w:val="0"/>
        <w:autoSpaceDN w:val="0"/>
        <w:adjustRightInd w:val="0"/>
        <w:spacing w:after="0" w:line="240" w:lineRule="auto"/>
        <w:ind w:left="720" w:right="662"/>
        <w:jc w:val="both"/>
        <w:rPr>
          <w:rStyle w:val="Strong"/>
          <w:b w:val="0"/>
          <w:bCs w:val="0"/>
          <w:color w:val="111111"/>
          <w:shd w:val="clear" w:color="auto" w:fill="FFFFFF"/>
        </w:rPr>
      </w:pPr>
      <w:r>
        <w:rPr>
          <w:rStyle w:val="Strong"/>
          <w:b w:val="0"/>
          <w:bCs w:val="0"/>
          <w:color w:val="111111"/>
          <w:shd w:val="clear" w:color="auto" w:fill="FFFFFF"/>
        </w:rPr>
        <w:t xml:space="preserve">The British government failed to consider adequately the nature of the other taxes in place or had been previously imposed in the individual colonies. </w:t>
      </w:r>
      <w:proofErr w:type="spellStart"/>
      <w:r>
        <w:rPr>
          <w:rStyle w:val="Strong"/>
          <w:b w:val="0"/>
          <w:bCs w:val="0"/>
          <w:color w:val="111111"/>
          <w:shd w:val="clear" w:color="auto" w:fill="FFFFFF"/>
        </w:rPr>
        <w:t>Kozu</w:t>
      </w:r>
      <w:r w:rsidR="001D1FB5">
        <w:rPr>
          <w:rStyle w:val="Strong"/>
          <w:b w:val="0"/>
          <w:bCs w:val="0"/>
          <w:color w:val="111111"/>
          <w:shd w:val="clear" w:color="auto" w:fill="FFFFFF"/>
        </w:rPr>
        <w:t>b</w:t>
      </w:r>
      <w:proofErr w:type="spellEnd"/>
      <w:r>
        <w:rPr>
          <w:rStyle w:val="Strong"/>
          <w:b w:val="0"/>
          <w:bCs w:val="0"/>
          <w:color w:val="111111"/>
          <w:shd w:val="clear" w:color="auto" w:fill="FFFFFF"/>
        </w:rPr>
        <w:t xml:space="preserve"> [1983]</w:t>
      </w:r>
      <w:r>
        <w:rPr>
          <w:rStyle w:val="FootnoteReference"/>
          <w:color w:val="111111"/>
          <w:shd w:val="clear" w:color="auto" w:fill="FFFFFF"/>
        </w:rPr>
        <w:footnoteReference w:id="24"/>
      </w:r>
      <w:r>
        <w:rPr>
          <w:rStyle w:val="Strong"/>
          <w:b w:val="0"/>
          <w:bCs w:val="0"/>
          <w:color w:val="111111"/>
          <w:shd w:val="clear" w:color="auto" w:fill="FFFFFF"/>
        </w:rPr>
        <w:t xml:space="preserve"> documents the array of taxes imposed by the colonial governments and concludes that the array of taxes imposed by the ‘colonial forefathers’ attempted in their design of tax instruments to measure the faculty or ability of individuals to pay the taxes. Indeed, several </w:t>
      </w:r>
      <w:proofErr w:type="gramStart"/>
      <w:r>
        <w:rPr>
          <w:rStyle w:val="Strong"/>
          <w:b w:val="0"/>
          <w:bCs w:val="0"/>
          <w:color w:val="111111"/>
          <w:shd w:val="clear" w:color="auto" w:fill="FFFFFF"/>
        </w:rPr>
        <w:t>colonies imposed</w:t>
      </w:r>
      <w:proofErr w:type="gramEnd"/>
      <w:r>
        <w:rPr>
          <w:rStyle w:val="Strong"/>
          <w:b w:val="0"/>
          <w:bCs w:val="0"/>
          <w:color w:val="111111"/>
          <w:shd w:val="clear" w:color="auto" w:fill="FFFFFF"/>
        </w:rPr>
        <w:t xml:space="preserve"> taxes actually designated as ‘faculty taxes’ which were taxes on the assumed income of specific occupations. In Connecticut, for example, it applied to attorneys.</w:t>
      </w:r>
    </w:p>
    <w:p w14:paraId="3788E0A0" w14:textId="191E2C79" w:rsidR="004E3415" w:rsidRDefault="004E3415" w:rsidP="004E3415">
      <w:pPr>
        <w:autoSpaceDE w:val="0"/>
        <w:autoSpaceDN w:val="0"/>
        <w:adjustRightInd w:val="0"/>
        <w:spacing w:after="0" w:line="240" w:lineRule="auto"/>
        <w:ind w:right="-22"/>
        <w:jc w:val="both"/>
        <w:rPr>
          <w:color w:val="000000" w:themeColor="text1"/>
        </w:rPr>
      </w:pPr>
    </w:p>
    <w:p w14:paraId="359CE956" w14:textId="449077F5" w:rsidR="004E3415" w:rsidRDefault="00EC0CD6" w:rsidP="004E3415">
      <w:pPr>
        <w:autoSpaceDE w:val="0"/>
        <w:autoSpaceDN w:val="0"/>
        <w:adjustRightInd w:val="0"/>
        <w:spacing w:after="0" w:line="240" w:lineRule="auto"/>
        <w:ind w:right="-22"/>
        <w:jc w:val="both"/>
        <w:rPr>
          <w:color w:val="000000" w:themeColor="text1"/>
        </w:rPr>
      </w:pPr>
      <w:r>
        <w:rPr>
          <w:color w:val="000000" w:themeColor="text1"/>
        </w:rPr>
        <w:t xml:space="preserve">Both </w:t>
      </w:r>
      <w:proofErr w:type="spellStart"/>
      <w:r>
        <w:rPr>
          <w:color w:val="000000" w:themeColor="text1"/>
        </w:rPr>
        <w:t>Kozub</w:t>
      </w:r>
      <w:proofErr w:type="spellEnd"/>
      <w:r>
        <w:rPr>
          <w:rStyle w:val="FootnoteReference"/>
          <w:color w:val="000000" w:themeColor="text1"/>
        </w:rPr>
        <w:footnoteReference w:id="25"/>
      </w:r>
      <w:r>
        <w:rPr>
          <w:color w:val="000000" w:themeColor="text1"/>
        </w:rPr>
        <w:t xml:space="preserve"> and Paul</w:t>
      </w:r>
      <w:r w:rsidR="007F5FA1">
        <w:rPr>
          <w:rStyle w:val="FootnoteReference"/>
          <w:color w:val="000000" w:themeColor="text1"/>
        </w:rPr>
        <w:footnoteReference w:id="26"/>
      </w:r>
      <w:r>
        <w:rPr>
          <w:color w:val="000000" w:themeColor="text1"/>
        </w:rPr>
        <w:t xml:space="preserve"> cite the comment of Supreme Court Justice Cardozo, who said that colonial forefathers ‘knew more about ways of taxing than some of their descendants seem to be willing to concede’.</w:t>
      </w:r>
      <w:r w:rsidR="007F5FA1">
        <w:rPr>
          <w:color w:val="000000" w:themeColor="text1"/>
        </w:rPr>
        <w:t xml:space="preserve"> </w:t>
      </w:r>
      <w:proofErr w:type="spellStart"/>
      <w:r w:rsidR="007F5FA1">
        <w:rPr>
          <w:color w:val="000000" w:themeColor="text1"/>
        </w:rPr>
        <w:t>Ko</w:t>
      </w:r>
      <w:r w:rsidR="00F52F22">
        <w:rPr>
          <w:color w:val="000000" w:themeColor="text1"/>
        </w:rPr>
        <w:t>zub</w:t>
      </w:r>
      <w:proofErr w:type="spellEnd"/>
      <w:r w:rsidR="00F52F22">
        <w:rPr>
          <w:rStyle w:val="FootnoteReference"/>
          <w:color w:val="000000" w:themeColor="text1"/>
        </w:rPr>
        <w:footnoteReference w:id="27"/>
      </w:r>
      <w:r w:rsidR="00F52F22">
        <w:rPr>
          <w:color w:val="000000" w:themeColor="text1"/>
        </w:rPr>
        <w:t xml:space="preserve"> provides an overview of </w:t>
      </w:r>
      <w:r w:rsidR="0061285E">
        <w:rPr>
          <w:color w:val="000000" w:themeColor="text1"/>
        </w:rPr>
        <w:t>the different</w:t>
      </w:r>
      <w:r w:rsidR="00F52F22">
        <w:rPr>
          <w:color w:val="000000" w:themeColor="text1"/>
        </w:rPr>
        <w:t xml:space="preserve"> taxes</w:t>
      </w:r>
      <w:r w:rsidR="0061285E">
        <w:rPr>
          <w:color w:val="000000" w:themeColor="text1"/>
        </w:rPr>
        <w:t xml:space="preserve"> levied in the colonies at different times</w:t>
      </w:r>
      <w:r w:rsidR="00F52F22">
        <w:rPr>
          <w:color w:val="000000" w:themeColor="text1"/>
        </w:rPr>
        <w:t>, which is reproduced in Figure 1 below</w:t>
      </w:r>
      <w:r w:rsidR="0061285E">
        <w:rPr>
          <w:color w:val="000000" w:themeColor="text1"/>
        </w:rPr>
        <w:t xml:space="preserve">, </w:t>
      </w:r>
      <w:r w:rsidR="006B6BB5">
        <w:rPr>
          <w:color w:val="000000" w:themeColor="text1"/>
        </w:rPr>
        <w:t>although this appears to be more a listing of the different tax bases, that is, what was taxed, not how. He</w:t>
      </w:r>
      <w:r w:rsidR="0061285E">
        <w:rPr>
          <w:color w:val="000000" w:themeColor="text1"/>
        </w:rPr>
        <w:t xml:space="preserve"> further categorises revenue collection measures into seven groups: </w:t>
      </w:r>
      <w:proofErr w:type="gramStart"/>
      <w:r w:rsidR="0061285E">
        <w:rPr>
          <w:color w:val="000000" w:themeColor="text1"/>
        </w:rPr>
        <w:t>quit-rents</w:t>
      </w:r>
      <w:proofErr w:type="gramEnd"/>
      <w:r w:rsidR="0061285E">
        <w:rPr>
          <w:color w:val="000000" w:themeColor="text1"/>
        </w:rPr>
        <w:t>; poll taxes; property taxes; fees, miscellaneous taxes; lotteries; and duties.</w:t>
      </w:r>
    </w:p>
    <w:p w14:paraId="0A177E6B" w14:textId="05F783E1" w:rsidR="00F52F22" w:rsidRDefault="00F52F22" w:rsidP="004E3415">
      <w:pPr>
        <w:autoSpaceDE w:val="0"/>
        <w:autoSpaceDN w:val="0"/>
        <w:adjustRightInd w:val="0"/>
        <w:spacing w:after="0" w:line="240" w:lineRule="auto"/>
        <w:ind w:right="-22"/>
        <w:jc w:val="both"/>
        <w:rPr>
          <w:color w:val="000000" w:themeColor="text1"/>
        </w:rPr>
      </w:pPr>
    </w:p>
    <w:p w14:paraId="33BB1AB6" w14:textId="77777777" w:rsidR="00A80D71" w:rsidRDefault="00A80D71" w:rsidP="0060478A">
      <w:pPr>
        <w:autoSpaceDE w:val="0"/>
        <w:autoSpaceDN w:val="0"/>
        <w:adjustRightInd w:val="0"/>
        <w:spacing w:after="0" w:line="240" w:lineRule="auto"/>
        <w:ind w:right="-22" w:firstLine="720"/>
        <w:jc w:val="both"/>
        <w:rPr>
          <w:shd w:val="clear" w:color="auto" w:fill="FFFFFF"/>
        </w:rPr>
      </w:pPr>
      <w:r w:rsidRPr="00754EC0">
        <w:rPr>
          <w:shd w:val="clear" w:color="auto" w:fill="FFFFFF"/>
        </w:rPr>
        <w:t xml:space="preserve">A </w:t>
      </w:r>
      <w:proofErr w:type="gramStart"/>
      <w:r w:rsidRPr="00754EC0">
        <w:rPr>
          <w:shd w:val="clear" w:color="auto" w:fill="FFFFFF"/>
        </w:rPr>
        <w:t>quit-rent</w:t>
      </w:r>
      <w:proofErr w:type="gramEnd"/>
      <w:r w:rsidRPr="00754EC0">
        <w:rPr>
          <w:shd w:val="clear" w:color="auto" w:fill="FFFFFF"/>
        </w:rPr>
        <w:t xml:space="preserve"> is a duty imposed on occupiers of freehold or leasehold land, in lieu of services owed to a higher authority which had granted or assigned the land. </w:t>
      </w:r>
      <w:r>
        <w:rPr>
          <w:shd w:val="clear" w:color="auto" w:fill="FFFFFF"/>
        </w:rPr>
        <w:t xml:space="preserve">It was, says </w:t>
      </w:r>
      <w:proofErr w:type="spellStart"/>
      <w:r>
        <w:rPr>
          <w:shd w:val="clear" w:color="auto" w:fill="FFFFFF"/>
        </w:rPr>
        <w:t>Kozub</w:t>
      </w:r>
      <w:proofErr w:type="spellEnd"/>
      <w:r>
        <w:rPr>
          <w:shd w:val="clear" w:color="auto" w:fill="FFFFFF"/>
        </w:rPr>
        <w:t>,</w:t>
      </w:r>
      <w:r>
        <w:rPr>
          <w:rStyle w:val="FootnoteReference"/>
          <w:shd w:val="clear" w:color="auto" w:fill="FFFFFF"/>
        </w:rPr>
        <w:footnoteReference w:id="28"/>
      </w:r>
      <w:r>
        <w:rPr>
          <w:shd w:val="clear" w:color="auto" w:fill="FFFFFF"/>
        </w:rPr>
        <w:t xml:space="preserve"> ‘an inextricable part of the feudal manorial land system transported from England to American soil’, and technically, it would not be considered a tax – though many might dissent. </w:t>
      </w:r>
      <w:proofErr w:type="spellStart"/>
      <w:r>
        <w:rPr>
          <w:shd w:val="clear" w:color="auto" w:fill="FFFFFF"/>
        </w:rPr>
        <w:t>Kozub</w:t>
      </w:r>
      <w:proofErr w:type="spellEnd"/>
      <w:r>
        <w:rPr>
          <w:shd w:val="clear" w:color="auto" w:fill="FFFFFF"/>
        </w:rPr>
        <w:t xml:space="preserve"> reviews the circumstances of each of the colonial groupings – Southern, New England and Middle</w:t>
      </w:r>
      <w:r>
        <w:rPr>
          <w:rStyle w:val="FootnoteReference"/>
          <w:shd w:val="clear" w:color="auto" w:fill="FFFFFF"/>
        </w:rPr>
        <w:footnoteReference w:id="29"/>
      </w:r>
      <w:r>
        <w:rPr>
          <w:shd w:val="clear" w:color="auto" w:fill="FFFFFF"/>
        </w:rPr>
        <w:t xml:space="preserve"> – and shows how the individual tax systems in each colony, or group of colonies, progressed and evolved over time, from their more primitive origins to sophisticated systems, designed to achieve a satisfactory balance between ‘the financial need of the colony’</w:t>
      </w:r>
      <w:r>
        <w:rPr>
          <w:rStyle w:val="FootnoteReference"/>
          <w:shd w:val="clear" w:color="auto" w:fill="FFFFFF"/>
        </w:rPr>
        <w:footnoteReference w:id="30"/>
      </w:r>
      <w:r>
        <w:rPr>
          <w:shd w:val="clear" w:color="auto" w:fill="FFFFFF"/>
        </w:rPr>
        <w:t xml:space="preserve"> and ‘the reality of the economic and social relations of the colonies’.</w:t>
      </w:r>
      <w:r>
        <w:rPr>
          <w:rStyle w:val="FootnoteReference"/>
          <w:shd w:val="clear" w:color="auto" w:fill="FFFFFF"/>
        </w:rPr>
        <w:footnoteReference w:id="31"/>
      </w:r>
      <w:r>
        <w:rPr>
          <w:shd w:val="clear" w:color="auto" w:fill="FFFFFF"/>
        </w:rPr>
        <w:t xml:space="preserve"> The evolution was not always easy or steadily sustained, but accommodated the different requirements of the colonies at their own speed of development.</w:t>
      </w:r>
    </w:p>
    <w:p w14:paraId="2BFC7BA1" w14:textId="77777777" w:rsidR="00A80D71" w:rsidRDefault="00A80D71" w:rsidP="00A80D71">
      <w:pPr>
        <w:autoSpaceDE w:val="0"/>
        <w:autoSpaceDN w:val="0"/>
        <w:adjustRightInd w:val="0"/>
        <w:spacing w:after="0" w:line="240" w:lineRule="auto"/>
        <w:ind w:right="-22"/>
        <w:jc w:val="both"/>
      </w:pPr>
    </w:p>
    <w:p w14:paraId="038AEF90" w14:textId="3F1F4EBF" w:rsidR="00DD7D1B" w:rsidRDefault="00DD7D1B" w:rsidP="004E3415">
      <w:pPr>
        <w:autoSpaceDE w:val="0"/>
        <w:autoSpaceDN w:val="0"/>
        <w:adjustRightInd w:val="0"/>
        <w:spacing w:after="0" w:line="240" w:lineRule="auto"/>
        <w:ind w:right="-22"/>
        <w:jc w:val="both"/>
        <w:rPr>
          <w:color w:val="000000" w:themeColor="text1"/>
        </w:rPr>
      </w:pPr>
    </w:p>
    <w:p w14:paraId="6F62DCEB" w14:textId="1151C72E" w:rsidR="00F52F22" w:rsidRDefault="00F52F22" w:rsidP="004E3415">
      <w:pPr>
        <w:autoSpaceDE w:val="0"/>
        <w:autoSpaceDN w:val="0"/>
        <w:adjustRightInd w:val="0"/>
        <w:spacing w:after="0" w:line="240" w:lineRule="auto"/>
        <w:ind w:right="-22"/>
        <w:jc w:val="both"/>
        <w:rPr>
          <w:color w:val="000000" w:themeColor="text1"/>
        </w:rPr>
      </w:pPr>
      <w:r w:rsidRPr="00F52F22">
        <w:rPr>
          <w:b/>
          <w:bCs/>
          <w:color w:val="000000" w:themeColor="text1"/>
        </w:rPr>
        <w:t xml:space="preserve">Figure 1: </w:t>
      </w:r>
      <w:r w:rsidRPr="00F52F22">
        <w:rPr>
          <w:color w:val="000000" w:themeColor="text1"/>
        </w:rPr>
        <w:t xml:space="preserve">Overview of </w:t>
      </w:r>
      <w:r w:rsidR="005604E9">
        <w:rPr>
          <w:color w:val="000000" w:themeColor="text1"/>
        </w:rPr>
        <w:t>C</w:t>
      </w:r>
      <w:r w:rsidRPr="00F52F22">
        <w:rPr>
          <w:color w:val="000000" w:themeColor="text1"/>
        </w:rPr>
        <w:t xml:space="preserve">olonial </w:t>
      </w:r>
      <w:r w:rsidR="005604E9">
        <w:rPr>
          <w:color w:val="000000" w:themeColor="text1"/>
        </w:rPr>
        <w:t>T</w:t>
      </w:r>
      <w:r w:rsidRPr="00F52F22">
        <w:rPr>
          <w:color w:val="000000" w:themeColor="text1"/>
        </w:rPr>
        <w:t>axes</w:t>
      </w:r>
    </w:p>
    <w:p w14:paraId="5419BF0F" w14:textId="77777777" w:rsidR="00F52F22" w:rsidRPr="00F52F22" w:rsidRDefault="00F52F22" w:rsidP="004E3415">
      <w:pPr>
        <w:autoSpaceDE w:val="0"/>
        <w:autoSpaceDN w:val="0"/>
        <w:adjustRightInd w:val="0"/>
        <w:spacing w:after="0" w:line="240" w:lineRule="auto"/>
        <w:ind w:right="-22"/>
        <w:jc w:val="both"/>
        <w:rPr>
          <w:color w:val="000000" w:themeColor="text1"/>
        </w:rPr>
      </w:pPr>
    </w:p>
    <w:p w14:paraId="49BD5848" w14:textId="70B45CD0" w:rsidR="00F52F22" w:rsidRDefault="00F52F22" w:rsidP="00F52F22">
      <w:pPr>
        <w:autoSpaceDE w:val="0"/>
        <w:autoSpaceDN w:val="0"/>
        <w:adjustRightInd w:val="0"/>
        <w:spacing w:after="0" w:line="240" w:lineRule="auto"/>
        <w:ind w:right="-22"/>
        <w:jc w:val="center"/>
        <w:rPr>
          <w:color w:val="000000" w:themeColor="text1"/>
        </w:rPr>
      </w:pPr>
      <w:r w:rsidRPr="00F52F22">
        <w:rPr>
          <w:noProof/>
          <w:color w:val="000000" w:themeColor="text1"/>
        </w:rPr>
        <w:drawing>
          <wp:inline distT="0" distB="0" distL="0" distR="0" wp14:anchorId="0DE3F179" wp14:editId="67E6BFA1">
            <wp:extent cx="3183467" cy="34253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7972" cy="3451702"/>
                    </a:xfrm>
                    <a:prstGeom prst="rect">
                      <a:avLst/>
                    </a:prstGeom>
                    <a:noFill/>
                    <a:ln>
                      <a:noFill/>
                    </a:ln>
                  </pic:spPr>
                </pic:pic>
              </a:graphicData>
            </a:graphic>
          </wp:inline>
        </w:drawing>
      </w:r>
    </w:p>
    <w:p w14:paraId="4BC8A0E1" w14:textId="33BA3C30" w:rsidR="00F52F22" w:rsidRDefault="00F52F22" w:rsidP="004E3415">
      <w:pPr>
        <w:autoSpaceDE w:val="0"/>
        <w:autoSpaceDN w:val="0"/>
        <w:adjustRightInd w:val="0"/>
        <w:spacing w:after="0" w:line="240" w:lineRule="auto"/>
        <w:ind w:right="-22"/>
        <w:jc w:val="both"/>
        <w:rPr>
          <w:color w:val="000000" w:themeColor="text1"/>
        </w:rPr>
      </w:pPr>
    </w:p>
    <w:p w14:paraId="0AA3C3B9" w14:textId="77777777" w:rsidR="00DD7D1B" w:rsidRPr="00754EC0" w:rsidRDefault="00DD7D1B" w:rsidP="004E3415">
      <w:pPr>
        <w:autoSpaceDE w:val="0"/>
        <w:autoSpaceDN w:val="0"/>
        <w:adjustRightInd w:val="0"/>
        <w:spacing w:after="0" w:line="240" w:lineRule="auto"/>
        <w:ind w:right="-22"/>
        <w:jc w:val="both"/>
        <w:rPr>
          <w:color w:val="000000" w:themeColor="text1"/>
        </w:rPr>
      </w:pPr>
    </w:p>
    <w:p w14:paraId="3AD7000B" w14:textId="056AF6BC" w:rsidR="00613755" w:rsidRPr="00754EC0" w:rsidRDefault="00613755" w:rsidP="00A47035">
      <w:pPr>
        <w:autoSpaceDE w:val="0"/>
        <w:autoSpaceDN w:val="0"/>
        <w:adjustRightInd w:val="0"/>
        <w:spacing w:after="120" w:line="240" w:lineRule="auto"/>
        <w:ind w:left="720" w:right="662"/>
        <w:jc w:val="both"/>
      </w:pPr>
      <w:r>
        <w:t xml:space="preserve">Differences in the needs of the various colonies generally resulted in the assimilation of different forms of the English financial system. The political and economic organization of the </w:t>
      </w:r>
      <w:proofErr w:type="gramStart"/>
      <w:r>
        <w:t>colonies</w:t>
      </w:r>
      <w:proofErr w:type="gramEnd"/>
      <w:r>
        <w:t xml:space="preserve"> accounts for many differences, and the pattern of organization of each colony was dependent on the time period in which it was originally organized.</w:t>
      </w:r>
      <w:r>
        <w:rPr>
          <w:rStyle w:val="FootnoteReference"/>
        </w:rPr>
        <w:footnoteReference w:id="32"/>
      </w:r>
    </w:p>
    <w:p w14:paraId="22AA8F70" w14:textId="566C0FC2" w:rsidR="004E3415" w:rsidRDefault="004E3415" w:rsidP="00A47035">
      <w:pPr>
        <w:autoSpaceDE w:val="0"/>
        <w:autoSpaceDN w:val="0"/>
        <w:adjustRightInd w:val="0"/>
        <w:spacing w:after="0" w:line="240" w:lineRule="auto"/>
        <w:ind w:right="-22"/>
        <w:jc w:val="both"/>
        <w:rPr>
          <w:color w:val="000000" w:themeColor="text1"/>
        </w:rPr>
      </w:pPr>
    </w:p>
    <w:p w14:paraId="0AA55E45" w14:textId="5D37B648" w:rsidR="00A47035" w:rsidRDefault="00A47035" w:rsidP="00A47035">
      <w:pPr>
        <w:autoSpaceDE w:val="0"/>
        <w:autoSpaceDN w:val="0"/>
        <w:adjustRightInd w:val="0"/>
        <w:spacing w:after="0" w:line="240" w:lineRule="auto"/>
        <w:ind w:right="-22"/>
        <w:jc w:val="both"/>
        <w:rPr>
          <w:color w:val="000000" w:themeColor="text1"/>
        </w:rPr>
      </w:pPr>
      <w:proofErr w:type="spellStart"/>
      <w:r>
        <w:rPr>
          <w:color w:val="000000" w:themeColor="text1"/>
        </w:rPr>
        <w:t>Kozub</w:t>
      </w:r>
      <w:proofErr w:type="spellEnd"/>
      <w:r>
        <w:rPr>
          <w:color w:val="000000" w:themeColor="text1"/>
        </w:rPr>
        <w:t xml:space="preserve"> also comments that the emergence of the faculty to pay principle (as vertical equity) came about despite ‘the clashing of divergent interests’ … [progressing]</w:t>
      </w:r>
      <w:r w:rsidR="00891309">
        <w:rPr>
          <w:color w:val="000000" w:themeColor="text1"/>
        </w:rPr>
        <w:t xml:space="preserve"> from existence, to expenditures, to property and finally to product … to test the individual’s faculty to bear the burden of government’.</w:t>
      </w:r>
      <w:r w:rsidR="00891309">
        <w:rPr>
          <w:rStyle w:val="FootnoteReference"/>
          <w:color w:val="000000" w:themeColor="text1"/>
        </w:rPr>
        <w:footnoteReference w:id="33"/>
      </w:r>
      <w:r w:rsidR="00891309">
        <w:rPr>
          <w:color w:val="000000" w:themeColor="text1"/>
        </w:rPr>
        <w:t xml:space="preserve"> He includes a telling</w:t>
      </w:r>
      <w:r w:rsidR="00F437B6">
        <w:rPr>
          <w:color w:val="000000" w:themeColor="text1"/>
        </w:rPr>
        <w:t xml:space="preserve"> example from Pennsylvania’s poll tax, from 1782, showing too </w:t>
      </w:r>
      <w:proofErr w:type="gramStart"/>
      <w:r w:rsidR="00F437B6">
        <w:rPr>
          <w:color w:val="000000" w:themeColor="text1"/>
        </w:rPr>
        <w:t>that taxes</w:t>
      </w:r>
      <w:proofErr w:type="gramEnd"/>
      <w:r w:rsidR="00F437B6">
        <w:rPr>
          <w:color w:val="000000" w:themeColor="text1"/>
        </w:rPr>
        <w:t xml:space="preserve"> were evolving even during the period of </w:t>
      </w:r>
      <w:r w:rsidR="00BA37A1">
        <w:rPr>
          <w:color w:val="000000" w:themeColor="text1"/>
        </w:rPr>
        <w:t xml:space="preserve">conflict </w:t>
      </w:r>
      <w:r w:rsidR="00F437B6">
        <w:rPr>
          <w:color w:val="000000" w:themeColor="text1"/>
        </w:rPr>
        <w:t>with Great Britain</w:t>
      </w:r>
      <w:r w:rsidR="00C21644">
        <w:rPr>
          <w:color w:val="000000" w:themeColor="text1"/>
        </w:rPr>
        <w:t>. This is reproduced in</w:t>
      </w:r>
      <w:r w:rsidR="00F437B6">
        <w:rPr>
          <w:color w:val="000000" w:themeColor="text1"/>
        </w:rPr>
        <w:t xml:space="preserve"> Figure 2 below.</w:t>
      </w:r>
      <w:r w:rsidR="00B65C00">
        <w:rPr>
          <w:rStyle w:val="FootnoteReference"/>
          <w:color w:val="000000" w:themeColor="text1"/>
        </w:rPr>
        <w:footnoteReference w:id="34"/>
      </w:r>
    </w:p>
    <w:p w14:paraId="24C5E196" w14:textId="041509DC" w:rsidR="00A47035" w:rsidRDefault="00A47035" w:rsidP="00F437B6">
      <w:pPr>
        <w:autoSpaceDE w:val="0"/>
        <w:autoSpaceDN w:val="0"/>
        <w:adjustRightInd w:val="0"/>
        <w:spacing w:after="0" w:line="240" w:lineRule="auto"/>
        <w:ind w:right="-22"/>
        <w:jc w:val="both"/>
        <w:rPr>
          <w:color w:val="000000" w:themeColor="text1"/>
        </w:rPr>
      </w:pPr>
    </w:p>
    <w:p w14:paraId="3627E649" w14:textId="77777777" w:rsidR="00DD7D1B" w:rsidRDefault="00DD7D1B" w:rsidP="00F437B6">
      <w:pPr>
        <w:autoSpaceDE w:val="0"/>
        <w:autoSpaceDN w:val="0"/>
        <w:adjustRightInd w:val="0"/>
        <w:spacing w:after="0" w:line="240" w:lineRule="auto"/>
        <w:ind w:right="-22"/>
        <w:jc w:val="both"/>
        <w:rPr>
          <w:color w:val="000000" w:themeColor="text1"/>
        </w:rPr>
      </w:pPr>
    </w:p>
    <w:p w14:paraId="4A5A2048" w14:textId="12A53462" w:rsidR="00F437B6" w:rsidRDefault="00F437B6" w:rsidP="00F437B6">
      <w:pPr>
        <w:autoSpaceDE w:val="0"/>
        <w:autoSpaceDN w:val="0"/>
        <w:adjustRightInd w:val="0"/>
        <w:spacing w:after="0" w:line="240" w:lineRule="auto"/>
        <w:ind w:right="-22"/>
        <w:jc w:val="both"/>
        <w:rPr>
          <w:color w:val="000000" w:themeColor="text1"/>
        </w:rPr>
      </w:pPr>
      <w:r w:rsidRPr="00F437B6">
        <w:rPr>
          <w:b/>
          <w:bCs/>
          <w:color w:val="000000" w:themeColor="text1"/>
        </w:rPr>
        <w:t>Figure 2:</w:t>
      </w:r>
      <w:r>
        <w:rPr>
          <w:color w:val="000000" w:themeColor="text1"/>
        </w:rPr>
        <w:t xml:space="preserve"> Poll </w:t>
      </w:r>
      <w:r w:rsidR="005604E9">
        <w:rPr>
          <w:color w:val="000000" w:themeColor="text1"/>
        </w:rPr>
        <w:t>T</w:t>
      </w:r>
      <w:r>
        <w:rPr>
          <w:color w:val="000000" w:themeColor="text1"/>
        </w:rPr>
        <w:t>ax – Pennsylvania</w:t>
      </w:r>
    </w:p>
    <w:p w14:paraId="3D927400" w14:textId="77777777" w:rsidR="00F437B6" w:rsidRDefault="00F437B6" w:rsidP="00F437B6">
      <w:pPr>
        <w:autoSpaceDE w:val="0"/>
        <w:autoSpaceDN w:val="0"/>
        <w:adjustRightInd w:val="0"/>
        <w:spacing w:after="0" w:line="240" w:lineRule="auto"/>
        <w:ind w:right="-22"/>
        <w:jc w:val="both"/>
        <w:rPr>
          <w:color w:val="000000" w:themeColor="text1"/>
        </w:rPr>
      </w:pPr>
    </w:p>
    <w:p w14:paraId="0FF7BB74" w14:textId="62C13935" w:rsidR="00F437B6" w:rsidRDefault="00F437B6" w:rsidP="00F437B6">
      <w:pPr>
        <w:autoSpaceDE w:val="0"/>
        <w:autoSpaceDN w:val="0"/>
        <w:adjustRightInd w:val="0"/>
        <w:spacing w:after="0" w:line="240" w:lineRule="auto"/>
        <w:ind w:right="-22"/>
        <w:jc w:val="center"/>
        <w:rPr>
          <w:color w:val="000000" w:themeColor="text1"/>
        </w:rPr>
      </w:pPr>
      <w:r w:rsidRPr="00F437B6">
        <w:rPr>
          <w:noProof/>
          <w:color w:val="000000" w:themeColor="text1"/>
        </w:rPr>
        <w:drawing>
          <wp:inline distT="0" distB="0" distL="0" distR="0" wp14:anchorId="1DB495A3" wp14:editId="0DA4C8D9">
            <wp:extent cx="2942167" cy="178792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8705" cy="1797972"/>
                    </a:xfrm>
                    <a:prstGeom prst="rect">
                      <a:avLst/>
                    </a:prstGeom>
                    <a:noFill/>
                    <a:ln>
                      <a:noFill/>
                    </a:ln>
                  </pic:spPr>
                </pic:pic>
              </a:graphicData>
            </a:graphic>
          </wp:inline>
        </w:drawing>
      </w:r>
    </w:p>
    <w:p w14:paraId="61985DDC" w14:textId="47985238" w:rsidR="00F437B6" w:rsidRDefault="00F437B6" w:rsidP="00F437B6">
      <w:pPr>
        <w:autoSpaceDE w:val="0"/>
        <w:autoSpaceDN w:val="0"/>
        <w:adjustRightInd w:val="0"/>
        <w:spacing w:after="0" w:line="240" w:lineRule="auto"/>
        <w:ind w:right="-22"/>
        <w:jc w:val="both"/>
        <w:rPr>
          <w:color w:val="000000" w:themeColor="text1"/>
        </w:rPr>
      </w:pPr>
    </w:p>
    <w:p w14:paraId="39970928" w14:textId="77777777" w:rsidR="00DD7D1B" w:rsidRDefault="00DD7D1B" w:rsidP="00F437B6">
      <w:pPr>
        <w:autoSpaceDE w:val="0"/>
        <w:autoSpaceDN w:val="0"/>
        <w:adjustRightInd w:val="0"/>
        <w:spacing w:after="0" w:line="240" w:lineRule="auto"/>
        <w:ind w:right="-22"/>
        <w:jc w:val="both"/>
        <w:rPr>
          <w:color w:val="000000" w:themeColor="text1"/>
        </w:rPr>
      </w:pPr>
    </w:p>
    <w:p w14:paraId="3F1E1FEF" w14:textId="577E2BDA" w:rsidR="00F437B6" w:rsidRDefault="00FA2081" w:rsidP="00F437B6">
      <w:pPr>
        <w:autoSpaceDE w:val="0"/>
        <w:autoSpaceDN w:val="0"/>
        <w:adjustRightInd w:val="0"/>
        <w:spacing w:after="0" w:line="240" w:lineRule="auto"/>
        <w:ind w:right="-22"/>
        <w:jc w:val="both"/>
        <w:rPr>
          <w:color w:val="000000" w:themeColor="text1"/>
        </w:rPr>
      </w:pPr>
      <w:r>
        <w:rPr>
          <w:color w:val="000000" w:themeColor="text1"/>
        </w:rPr>
        <w:t xml:space="preserve">What emerges from </w:t>
      </w:r>
      <w:proofErr w:type="spellStart"/>
      <w:r>
        <w:rPr>
          <w:color w:val="000000" w:themeColor="text1"/>
        </w:rPr>
        <w:t>Kozub’s</w:t>
      </w:r>
      <w:proofErr w:type="spellEnd"/>
      <w:r>
        <w:rPr>
          <w:color w:val="000000" w:themeColor="text1"/>
        </w:rPr>
        <w:t xml:space="preserve"> overview is a picture of states </w:t>
      </w:r>
      <w:r w:rsidR="00B46BE8">
        <w:rPr>
          <w:color w:val="000000" w:themeColor="text1"/>
        </w:rPr>
        <w:t xml:space="preserve">developing internal tax systems individually to meet their own </w:t>
      </w:r>
      <w:proofErr w:type="gramStart"/>
      <w:r w:rsidR="00B46BE8">
        <w:rPr>
          <w:color w:val="000000" w:themeColor="text1"/>
        </w:rPr>
        <w:t>needs, and</w:t>
      </w:r>
      <w:proofErr w:type="gramEnd"/>
      <w:r w:rsidR="00B46BE8">
        <w:rPr>
          <w:color w:val="000000" w:themeColor="text1"/>
        </w:rPr>
        <w:t xml:space="preserve"> developing them each at a different speed and with differing degrees of sophistication. In the development of the faculty to pay principle</w:t>
      </w:r>
      <w:r w:rsidR="00454102">
        <w:rPr>
          <w:color w:val="000000" w:themeColor="text1"/>
        </w:rPr>
        <w:t>, which is seen in part in the Pennsylvania poll tax above</w:t>
      </w:r>
      <w:r w:rsidR="00EC05C1">
        <w:rPr>
          <w:color w:val="000000" w:themeColor="text1"/>
        </w:rPr>
        <w:t xml:space="preserve"> (the varying rates depended on ‘profits arising from the offices, posts, trade and occupations’</w:t>
      </w:r>
      <w:r w:rsidR="00EC05C1">
        <w:rPr>
          <w:rStyle w:val="FootnoteReference"/>
          <w:color w:val="000000" w:themeColor="text1"/>
        </w:rPr>
        <w:footnoteReference w:id="35"/>
      </w:r>
      <w:r w:rsidR="00EC05C1">
        <w:rPr>
          <w:color w:val="000000" w:themeColor="text1"/>
        </w:rPr>
        <w:t>)</w:t>
      </w:r>
      <w:r w:rsidR="00454102">
        <w:rPr>
          <w:color w:val="000000" w:themeColor="text1"/>
        </w:rPr>
        <w:t xml:space="preserve">, the colonists were in many ways ahead of tax developments in Great </w:t>
      </w:r>
      <w:proofErr w:type="gramStart"/>
      <w:r w:rsidR="00454102">
        <w:rPr>
          <w:color w:val="000000" w:themeColor="text1"/>
        </w:rPr>
        <w:t>Britain, and</w:t>
      </w:r>
      <w:proofErr w:type="gramEnd"/>
      <w:r w:rsidR="00454102">
        <w:rPr>
          <w:color w:val="000000" w:themeColor="text1"/>
        </w:rPr>
        <w:t xml:space="preserve"> were not hidebound by particular conventions or practices. It is unsurprising that Great Britain’s attempts to impose tax</w:t>
      </w:r>
      <w:r w:rsidR="00C36163">
        <w:rPr>
          <w:color w:val="000000" w:themeColor="text1"/>
        </w:rPr>
        <w:t xml:space="preserve"> outside this framework should be so resented</w:t>
      </w:r>
      <w:r w:rsidR="00211D4C">
        <w:rPr>
          <w:color w:val="000000" w:themeColor="text1"/>
        </w:rPr>
        <w:t xml:space="preserve"> or that subsequent suggestions for federal taxes, after the end of the war, should be so hotly debated.</w:t>
      </w:r>
    </w:p>
    <w:p w14:paraId="22B317C2" w14:textId="40B73D09" w:rsidR="00F437B6" w:rsidRDefault="00F437B6" w:rsidP="00F437B6">
      <w:pPr>
        <w:autoSpaceDE w:val="0"/>
        <w:autoSpaceDN w:val="0"/>
        <w:adjustRightInd w:val="0"/>
        <w:spacing w:after="0" w:line="240" w:lineRule="auto"/>
        <w:ind w:right="-22"/>
        <w:jc w:val="both"/>
        <w:rPr>
          <w:color w:val="000000" w:themeColor="text1"/>
        </w:rPr>
      </w:pPr>
    </w:p>
    <w:p w14:paraId="50AD5A4F" w14:textId="256E72F3" w:rsidR="00204081" w:rsidRDefault="00204081" w:rsidP="00F437B6">
      <w:pPr>
        <w:autoSpaceDE w:val="0"/>
        <w:autoSpaceDN w:val="0"/>
        <w:adjustRightInd w:val="0"/>
        <w:spacing w:after="0" w:line="240" w:lineRule="auto"/>
        <w:ind w:right="-22"/>
        <w:jc w:val="both"/>
        <w:rPr>
          <w:color w:val="000000" w:themeColor="text1"/>
        </w:rPr>
      </w:pPr>
    </w:p>
    <w:p w14:paraId="193C9D7C" w14:textId="7558CD15" w:rsidR="00204081" w:rsidRDefault="00204081" w:rsidP="00204081">
      <w:pPr>
        <w:autoSpaceDE w:val="0"/>
        <w:autoSpaceDN w:val="0"/>
        <w:adjustRightInd w:val="0"/>
        <w:spacing w:after="0" w:line="240" w:lineRule="auto"/>
        <w:ind w:right="-22"/>
        <w:jc w:val="center"/>
        <w:rPr>
          <w:color w:val="000000" w:themeColor="text1"/>
        </w:rPr>
      </w:pPr>
      <w:r>
        <w:rPr>
          <w:color w:val="000000" w:themeColor="text1"/>
        </w:rPr>
        <w:t>WARTIME FINANCE</w:t>
      </w:r>
    </w:p>
    <w:p w14:paraId="505794B3" w14:textId="77777777" w:rsidR="00204081" w:rsidRDefault="00204081" w:rsidP="00F437B6">
      <w:pPr>
        <w:autoSpaceDE w:val="0"/>
        <w:autoSpaceDN w:val="0"/>
        <w:adjustRightInd w:val="0"/>
        <w:spacing w:after="0" w:line="240" w:lineRule="auto"/>
        <w:ind w:right="-22"/>
        <w:jc w:val="both"/>
        <w:rPr>
          <w:color w:val="000000" w:themeColor="text1"/>
        </w:rPr>
      </w:pPr>
    </w:p>
    <w:p w14:paraId="4EDA7ACB" w14:textId="15755301" w:rsidR="00F437B6" w:rsidRDefault="00204081" w:rsidP="00F437B6">
      <w:pPr>
        <w:autoSpaceDE w:val="0"/>
        <w:autoSpaceDN w:val="0"/>
        <w:adjustRightInd w:val="0"/>
        <w:spacing w:after="0" w:line="240" w:lineRule="auto"/>
        <w:ind w:right="-22"/>
        <w:jc w:val="both"/>
        <w:rPr>
          <w:color w:val="000000" w:themeColor="text1"/>
        </w:rPr>
      </w:pPr>
      <w:r>
        <w:rPr>
          <w:color w:val="000000" w:themeColor="text1"/>
        </w:rPr>
        <w:t xml:space="preserve">During the </w:t>
      </w:r>
      <w:r w:rsidR="00BA37A1">
        <w:rPr>
          <w:color w:val="000000" w:themeColor="text1"/>
        </w:rPr>
        <w:t>W</w:t>
      </w:r>
      <w:r>
        <w:rPr>
          <w:color w:val="000000" w:themeColor="text1"/>
        </w:rPr>
        <w:t>ar itself, the Second Continental Congress took on the responsibilities of overall colonial government.</w:t>
      </w:r>
      <w:r>
        <w:rPr>
          <w:rStyle w:val="FootnoteReference"/>
          <w:color w:val="000000" w:themeColor="text1"/>
        </w:rPr>
        <w:footnoteReference w:id="36"/>
      </w:r>
      <w:r w:rsidR="00C2532E">
        <w:rPr>
          <w:color w:val="000000" w:themeColor="text1"/>
        </w:rPr>
        <w:t xml:space="preserve"> The issue of financing the </w:t>
      </w:r>
      <w:r w:rsidR="00BA37A1">
        <w:rPr>
          <w:color w:val="000000" w:themeColor="text1"/>
        </w:rPr>
        <w:t>W</w:t>
      </w:r>
      <w:r w:rsidR="00C2532E">
        <w:rPr>
          <w:color w:val="000000" w:themeColor="text1"/>
        </w:rPr>
        <w:t>ar was an immensely difficult problem.</w:t>
      </w:r>
      <w:r w:rsidR="003B61CD">
        <w:rPr>
          <w:color w:val="000000" w:themeColor="text1"/>
        </w:rPr>
        <w:t xml:space="preserve"> As Becker notes</w:t>
      </w:r>
      <w:r w:rsidR="00367F7F">
        <w:rPr>
          <w:color w:val="000000" w:themeColor="text1"/>
        </w:rPr>
        <w:t>,</w:t>
      </w:r>
      <w:r w:rsidR="003B61CD">
        <w:rPr>
          <w:rStyle w:val="FootnoteReference"/>
          <w:color w:val="000000" w:themeColor="text1"/>
        </w:rPr>
        <w:footnoteReference w:id="37"/>
      </w:r>
      <w:r w:rsidR="00367F7F">
        <w:rPr>
          <w:color w:val="000000" w:themeColor="text1"/>
        </w:rPr>
        <w:t xml:space="preserve"> the Congress had no power to tax or compel the states to </w:t>
      </w:r>
      <w:r w:rsidR="00C21644">
        <w:rPr>
          <w:color w:val="000000" w:themeColor="text1"/>
        </w:rPr>
        <w:t>impose/raise</w:t>
      </w:r>
      <w:r w:rsidR="00FE4B47">
        <w:rPr>
          <w:color w:val="000000" w:themeColor="text1"/>
        </w:rPr>
        <w:t xml:space="preserve"> taxes</w:t>
      </w:r>
      <w:r w:rsidR="00367F7F">
        <w:rPr>
          <w:color w:val="000000" w:themeColor="text1"/>
        </w:rPr>
        <w:t xml:space="preserve">, although it could ask them to </w:t>
      </w:r>
      <w:r w:rsidR="00C21644">
        <w:rPr>
          <w:color w:val="000000" w:themeColor="text1"/>
        </w:rPr>
        <w:t>do so</w:t>
      </w:r>
      <w:r w:rsidR="00367F7F">
        <w:rPr>
          <w:color w:val="000000" w:themeColor="text1"/>
        </w:rPr>
        <w:t>. In addition to receiving (very small) state contributions, its chief means of finance was to print money</w:t>
      </w:r>
      <w:r w:rsidR="006A115A">
        <w:rPr>
          <w:rStyle w:val="FootnoteReference"/>
          <w:color w:val="000000" w:themeColor="text1"/>
        </w:rPr>
        <w:footnoteReference w:id="38"/>
      </w:r>
      <w:r w:rsidR="00367F7F">
        <w:rPr>
          <w:color w:val="000000" w:themeColor="text1"/>
        </w:rPr>
        <w:t xml:space="preserve"> and raise loans (including from overseas), which resulted in currency becoming devalued</w:t>
      </w:r>
      <w:r w:rsidR="006640CB">
        <w:rPr>
          <w:color w:val="000000" w:themeColor="text1"/>
        </w:rPr>
        <w:t>, rampant inflation</w:t>
      </w:r>
      <w:r w:rsidR="00367F7F">
        <w:rPr>
          <w:color w:val="000000" w:themeColor="text1"/>
        </w:rPr>
        <w:t xml:space="preserve"> and soaring debts</w:t>
      </w:r>
      <w:r w:rsidR="00271268">
        <w:rPr>
          <w:color w:val="000000" w:themeColor="text1"/>
        </w:rPr>
        <w:t>. The states themselves followed a similar course, the idea being that borrowing and currency issue was ‘backed by promise of taxes at some conveniently future date’, which deferred consideration of ‘what cons</w:t>
      </w:r>
      <w:r w:rsidR="00E24F36">
        <w:rPr>
          <w:color w:val="000000" w:themeColor="text1"/>
        </w:rPr>
        <w:t xml:space="preserve">tituted </w:t>
      </w:r>
      <w:r w:rsidR="00E24F36" w:rsidRPr="00E24F36">
        <w:rPr>
          <w:i/>
          <w:iCs/>
          <w:color w:val="000000" w:themeColor="text1"/>
        </w:rPr>
        <w:t>just</w:t>
      </w:r>
      <w:r w:rsidR="00E24F36">
        <w:rPr>
          <w:color w:val="000000" w:themeColor="text1"/>
        </w:rPr>
        <w:t xml:space="preserve"> taxation’</w:t>
      </w:r>
      <w:r w:rsidR="00271268">
        <w:rPr>
          <w:color w:val="000000" w:themeColor="text1"/>
        </w:rPr>
        <w:t>.</w:t>
      </w:r>
      <w:r w:rsidR="00271268">
        <w:rPr>
          <w:rStyle w:val="FootnoteReference"/>
          <w:color w:val="000000" w:themeColor="text1"/>
        </w:rPr>
        <w:footnoteReference w:id="39"/>
      </w:r>
      <w:r w:rsidR="00271268">
        <w:rPr>
          <w:color w:val="000000" w:themeColor="text1"/>
        </w:rPr>
        <w:t xml:space="preserve"> </w:t>
      </w:r>
      <w:r w:rsidR="00E24F36">
        <w:rPr>
          <w:color w:val="000000" w:themeColor="text1"/>
        </w:rPr>
        <w:t>To deal with so</w:t>
      </w:r>
      <w:r w:rsidR="00C21644">
        <w:rPr>
          <w:color w:val="000000" w:themeColor="text1"/>
        </w:rPr>
        <w:t>a</w:t>
      </w:r>
      <w:r w:rsidR="00E24F36">
        <w:rPr>
          <w:color w:val="000000" w:themeColor="text1"/>
        </w:rPr>
        <w:t>ring prices and collapsing currencies, however, the states had no real option other than to do what Congress could not, namely to raise taxes, which they started to do in 1777.</w:t>
      </w:r>
      <w:r w:rsidR="00746209">
        <w:rPr>
          <w:color w:val="000000" w:themeColor="text1"/>
        </w:rPr>
        <w:t xml:space="preserve"> As Becker notes:</w:t>
      </w:r>
      <w:r w:rsidR="00E86090">
        <w:rPr>
          <w:rStyle w:val="FootnoteReference"/>
          <w:color w:val="000000" w:themeColor="text1"/>
        </w:rPr>
        <w:footnoteReference w:id="40"/>
      </w:r>
    </w:p>
    <w:p w14:paraId="7FC166F0" w14:textId="3996F8E1" w:rsidR="00746209" w:rsidRDefault="00746209" w:rsidP="00F437B6">
      <w:pPr>
        <w:autoSpaceDE w:val="0"/>
        <w:autoSpaceDN w:val="0"/>
        <w:adjustRightInd w:val="0"/>
        <w:spacing w:after="0" w:line="240" w:lineRule="auto"/>
        <w:ind w:right="-22"/>
        <w:jc w:val="both"/>
        <w:rPr>
          <w:color w:val="000000" w:themeColor="text1"/>
        </w:rPr>
      </w:pPr>
    </w:p>
    <w:p w14:paraId="14EC192F" w14:textId="0F660B23" w:rsidR="00E86090" w:rsidRPr="00E86090" w:rsidRDefault="00746209" w:rsidP="00E86090">
      <w:pPr>
        <w:autoSpaceDE w:val="0"/>
        <w:autoSpaceDN w:val="0"/>
        <w:adjustRightInd w:val="0"/>
        <w:spacing w:after="0" w:line="240" w:lineRule="auto"/>
        <w:ind w:left="720" w:right="662"/>
        <w:jc w:val="both"/>
      </w:pPr>
      <w:r w:rsidRPr="00E86090">
        <w:t xml:space="preserve">In that year, all the states save Delaware, New York, and Georgia began levying high taxes to reduce the amount of circulating paper, to raise money to supply the Continental Army and the state militias, and to meet, whenever possible, Congress’s requisitions. To make these levies more palatable, many of the states substantially reformed their tax laws. Virginia, for example, eventually replaced a land tax that fell equally on every acre with an </w:t>
      </w:r>
      <w:r w:rsidRPr="00E86090">
        <w:rPr>
          <w:i/>
          <w:iCs/>
        </w:rPr>
        <w:t xml:space="preserve">ad valorem </w:t>
      </w:r>
      <w:r w:rsidRPr="00E86090">
        <w:t xml:space="preserve">land tax. Maryland enshrined the ability-to-pay principle in its new state constitution, which denounced poll taxes as </w:t>
      </w:r>
      <w:r w:rsidR="00E86090">
        <w:t>‘</w:t>
      </w:r>
      <w:r w:rsidRPr="00E86090">
        <w:t>grievous and oppressive</w:t>
      </w:r>
      <w:r w:rsidR="00E86090">
        <w:t>’</w:t>
      </w:r>
      <w:r w:rsidRPr="00E86090">
        <w:t xml:space="preserve">. Paupers aside, it insisted, </w:t>
      </w:r>
      <w:r w:rsidR="00E86090">
        <w:t>‘</w:t>
      </w:r>
      <w:r w:rsidRPr="00E86090">
        <w:t>every…person in the state ought to contribute his proportion of public taxes for the support of the government according to his actual worth in real or personal property…</w:t>
      </w:r>
      <w:r w:rsidR="00E86090">
        <w:t>’</w:t>
      </w:r>
      <w:r w:rsidRPr="00E86090">
        <w:t xml:space="preserve"> (Shipton, 1955, No. 14836).</w:t>
      </w:r>
      <w:r w:rsidR="00E86090">
        <w:rPr>
          <w:rStyle w:val="FootnoteReference"/>
        </w:rPr>
        <w:footnoteReference w:id="41"/>
      </w:r>
    </w:p>
    <w:p w14:paraId="6FD69498" w14:textId="2550D8BD" w:rsidR="00746209" w:rsidRPr="00E86090" w:rsidRDefault="00746209" w:rsidP="00E86090">
      <w:pPr>
        <w:autoSpaceDE w:val="0"/>
        <w:autoSpaceDN w:val="0"/>
        <w:adjustRightInd w:val="0"/>
        <w:spacing w:after="0" w:line="240" w:lineRule="auto"/>
        <w:ind w:left="720" w:right="662" w:firstLine="720"/>
        <w:jc w:val="both"/>
        <w:rPr>
          <w:color w:val="000000" w:themeColor="text1"/>
        </w:rPr>
      </w:pPr>
      <w:r w:rsidRPr="00E86090">
        <w:t>The amounts levied were huge compared</w:t>
      </w:r>
      <w:r w:rsidR="00E86090" w:rsidRPr="00E86090">
        <w:t xml:space="preserve"> </w:t>
      </w:r>
      <w:r w:rsidRPr="00E86090">
        <w:t>with the taxes colonists had been accustomed</w:t>
      </w:r>
      <w:r w:rsidR="00E86090" w:rsidRPr="00E86090">
        <w:t xml:space="preserve"> </w:t>
      </w:r>
      <w:r w:rsidRPr="00E86090">
        <w:t>to paying. Rhode Island, for example,</w:t>
      </w:r>
      <w:r w:rsidR="00E86090" w:rsidRPr="00E86090">
        <w:t xml:space="preserve"> </w:t>
      </w:r>
      <w:r w:rsidRPr="00E86090">
        <w:t>which normally operated its colonial</w:t>
      </w:r>
      <w:r w:rsidR="00E86090" w:rsidRPr="00E86090">
        <w:t xml:space="preserve"> </w:t>
      </w:r>
      <w:r w:rsidRPr="00E86090">
        <w:t>government on £4,000 a year, levied taxes</w:t>
      </w:r>
      <w:r w:rsidR="00E86090" w:rsidRPr="00E86090">
        <w:t xml:space="preserve"> </w:t>
      </w:r>
      <w:r w:rsidRPr="00E86090">
        <w:t xml:space="preserve">of £96,000 in 1777 and £94,000 in </w:t>
      </w:r>
      <w:proofErr w:type="gramStart"/>
      <w:r w:rsidRPr="00E86090">
        <w:t>1778,</w:t>
      </w:r>
      <w:r w:rsidR="00E86090" w:rsidRPr="00E86090">
        <w:t xml:space="preserve"> </w:t>
      </w:r>
      <w:r w:rsidRPr="00E86090">
        <w:t>and</w:t>
      </w:r>
      <w:proofErr w:type="gramEnd"/>
      <w:r w:rsidRPr="00E86090">
        <w:t xml:space="preserve"> had levied a total of nearly half a</w:t>
      </w:r>
      <w:r w:rsidR="00E86090" w:rsidRPr="00E86090">
        <w:t xml:space="preserve"> </w:t>
      </w:r>
      <w:r w:rsidRPr="00E86090">
        <w:t>million in taxes by the end of 1779. Even</w:t>
      </w:r>
      <w:r w:rsidR="00E86090" w:rsidRPr="00E86090">
        <w:t xml:space="preserve"> </w:t>
      </w:r>
      <w:r w:rsidRPr="00E86090">
        <w:t>allowing for inflation, these were wholly</w:t>
      </w:r>
      <w:r w:rsidR="00E86090" w:rsidRPr="00E86090">
        <w:t xml:space="preserve"> </w:t>
      </w:r>
      <w:r w:rsidRPr="00E86090">
        <w:t>unprecedented levies. In a two-year period</w:t>
      </w:r>
      <w:r w:rsidR="00E86090" w:rsidRPr="00E86090">
        <w:t xml:space="preserve"> </w:t>
      </w:r>
      <w:r w:rsidRPr="00E86090">
        <w:t>(1778 and 1779), Pennsylvania levied</w:t>
      </w:r>
      <w:r w:rsidR="00E86090" w:rsidRPr="00E86090">
        <w:t xml:space="preserve"> </w:t>
      </w:r>
      <w:r w:rsidRPr="00E86090">
        <w:t>£5,000,000. In no year between 1763 and</w:t>
      </w:r>
      <w:r w:rsidR="00E86090" w:rsidRPr="00E86090">
        <w:t xml:space="preserve"> </w:t>
      </w:r>
      <w:r w:rsidRPr="00E86090">
        <w:t>1775 had colonial Pen</w:t>
      </w:r>
      <w:r w:rsidR="00E86090" w:rsidRPr="00E86090">
        <w:t>nsylvania raised more than £34,000 in taxes.</w:t>
      </w:r>
    </w:p>
    <w:p w14:paraId="6CFA24D7" w14:textId="53643275" w:rsidR="00746209" w:rsidRPr="00E86090" w:rsidRDefault="00746209" w:rsidP="00E86090">
      <w:pPr>
        <w:autoSpaceDE w:val="0"/>
        <w:autoSpaceDN w:val="0"/>
        <w:adjustRightInd w:val="0"/>
        <w:spacing w:after="0" w:line="240" w:lineRule="auto"/>
        <w:ind w:right="-22"/>
        <w:jc w:val="both"/>
        <w:rPr>
          <w:color w:val="000000" w:themeColor="text1"/>
        </w:rPr>
      </w:pPr>
    </w:p>
    <w:p w14:paraId="45F09123" w14:textId="16E9A363" w:rsidR="00746209" w:rsidRDefault="000016C0" w:rsidP="00F437B6">
      <w:pPr>
        <w:autoSpaceDE w:val="0"/>
        <w:autoSpaceDN w:val="0"/>
        <w:adjustRightInd w:val="0"/>
        <w:spacing w:after="0" w:line="240" w:lineRule="auto"/>
        <w:ind w:right="-22"/>
        <w:jc w:val="both"/>
        <w:rPr>
          <w:color w:val="000000" w:themeColor="text1"/>
        </w:rPr>
      </w:pPr>
      <w:r>
        <w:rPr>
          <w:color w:val="000000" w:themeColor="text1"/>
        </w:rPr>
        <w:t xml:space="preserve">Taxes were widely resisted, as might have been anticipated. It cannot </w:t>
      </w:r>
      <w:r w:rsidR="006640CB">
        <w:rPr>
          <w:color w:val="000000" w:themeColor="text1"/>
        </w:rPr>
        <w:t xml:space="preserve">have </w:t>
      </w:r>
      <w:r>
        <w:rPr>
          <w:color w:val="000000" w:themeColor="text1"/>
        </w:rPr>
        <w:t xml:space="preserve">escaped the notice of colonial administrators that they were asking for more tax than the British had </w:t>
      </w:r>
      <w:r w:rsidR="006640CB">
        <w:rPr>
          <w:color w:val="000000" w:themeColor="text1"/>
        </w:rPr>
        <w:t>tried to raise</w:t>
      </w:r>
      <w:r w:rsidR="00C21644">
        <w:rPr>
          <w:color w:val="000000" w:themeColor="text1"/>
        </w:rPr>
        <w:t>,</w:t>
      </w:r>
      <w:r w:rsidR="006640CB">
        <w:rPr>
          <w:color w:val="000000" w:themeColor="text1"/>
        </w:rPr>
        <w:t xml:space="preserve"> </w:t>
      </w:r>
      <w:proofErr w:type="gramStart"/>
      <w:r w:rsidR="00C21644">
        <w:rPr>
          <w:color w:val="000000" w:themeColor="text1"/>
        </w:rPr>
        <w:t xml:space="preserve">in order </w:t>
      </w:r>
      <w:r>
        <w:rPr>
          <w:color w:val="000000" w:themeColor="text1"/>
        </w:rPr>
        <w:t>to</w:t>
      </w:r>
      <w:proofErr w:type="gramEnd"/>
      <w:r>
        <w:rPr>
          <w:color w:val="000000" w:themeColor="text1"/>
        </w:rPr>
        <w:t xml:space="preserve"> win a war against Britain’s right to tax.</w:t>
      </w:r>
      <w:r w:rsidR="00DD7D1B">
        <w:rPr>
          <w:color w:val="000000" w:themeColor="text1"/>
        </w:rPr>
        <w:t xml:space="preserve"> Fighting for freedom was costly not only in lives lost and blood sp</w:t>
      </w:r>
      <w:r w:rsidR="001B4A6A">
        <w:rPr>
          <w:color w:val="000000" w:themeColor="text1"/>
        </w:rPr>
        <w:t>ilt</w:t>
      </w:r>
      <w:r w:rsidR="00DD7D1B">
        <w:rPr>
          <w:color w:val="000000" w:themeColor="text1"/>
        </w:rPr>
        <w:t>, but also in financial terms.</w:t>
      </w:r>
    </w:p>
    <w:p w14:paraId="56922EF8" w14:textId="2751F2B5" w:rsidR="00746209" w:rsidRDefault="00746209" w:rsidP="00F437B6">
      <w:pPr>
        <w:autoSpaceDE w:val="0"/>
        <w:autoSpaceDN w:val="0"/>
        <w:adjustRightInd w:val="0"/>
        <w:spacing w:after="0" w:line="240" w:lineRule="auto"/>
        <w:ind w:right="-22"/>
        <w:jc w:val="both"/>
        <w:rPr>
          <w:color w:val="000000" w:themeColor="text1"/>
        </w:rPr>
      </w:pPr>
    </w:p>
    <w:p w14:paraId="0DD8CCF8" w14:textId="3C9B1C75" w:rsidR="000016C0" w:rsidRDefault="000016C0" w:rsidP="002D16B0">
      <w:pPr>
        <w:autoSpaceDE w:val="0"/>
        <w:autoSpaceDN w:val="0"/>
        <w:adjustRightInd w:val="0"/>
        <w:spacing w:after="0" w:line="240" w:lineRule="auto"/>
        <w:ind w:right="-22" w:firstLine="720"/>
        <w:jc w:val="both"/>
        <w:rPr>
          <w:color w:val="000000" w:themeColor="text1"/>
        </w:rPr>
      </w:pPr>
      <w:r>
        <w:rPr>
          <w:color w:val="000000" w:themeColor="text1"/>
        </w:rPr>
        <w:t>Becker remarks</w:t>
      </w:r>
      <w:r w:rsidR="002D16B0">
        <w:rPr>
          <w:rStyle w:val="FootnoteReference"/>
          <w:color w:val="000000" w:themeColor="text1"/>
        </w:rPr>
        <w:footnoteReference w:id="42"/>
      </w:r>
      <w:r>
        <w:rPr>
          <w:color w:val="000000" w:themeColor="text1"/>
        </w:rPr>
        <w:t xml:space="preserve"> on</w:t>
      </w:r>
      <w:r w:rsidR="002D16B0">
        <w:rPr>
          <w:color w:val="000000" w:themeColor="text1"/>
        </w:rPr>
        <w:t xml:space="preserve"> Congress’s attempts in 1781 to re-establish its position as a national government: it had </w:t>
      </w:r>
      <w:r w:rsidR="006640CB">
        <w:rPr>
          <w:color w:val="000000" w:themeColor="text1"/>
        </w:rPr>
        <w:t xml:space="preserve">by then </w:t>
      </w:r>
      <w:r w:rsidR="002D16B0">
        <w:rPr>
          <w:color w:val="000000" w:themeColor="text1"/>
        </w:rPr>
        <w:t xml:space="preserve">yielded some of its authority to the states and had even had to stop paying the army. In that year it </w:t>
      </w:r>
      <w:r w:rsidR="005132C9">
        <w:rPr>
          <w:color w:val="000000" w:themeColor="text1"/>
        </w:rPr>
        <w:t xml:space="preserve">undertook considerable </w:t>
      </w:r>
      <w:r w:rsidR="00013B69">
        <w:rPr>
          <w:color w:val="000000" w:themeColor="text1"/>
        </w:rPr>
        <w:t>reorganis</w:t>
      </w:r>
      <w:r w:rsidR="005132C9">
        <w:rPr>
          <w:color w:val="000000" w:themeColor="text1"/>
        </w:rPr>
        <w:t xml:space="preserve">ation, and replaced various committees ‘that oversaw finance, military and diplomatic affairs with departments headed by single </w:t>
      </w:r>
      <w:r w:rsidR="00013B69">
        <w:rPr>
          <w:color w:val="000000" w:themeColor="text1"/>
        </w:rPr>
        <w:t>e</w:t>
      </w:r>
      <w:r w:rsidR="005132C9">
        <w:rPr>
          <w:color w:val="000000" w:themeColor="text1"/>
        </w:rPr>
        <w:t>xecutive officers’</w:t>
      </w:r>
      <w:r w:rsidR="005132C9">
        <w:rPr>
          <w:rStyle w:val="FootnoteReference"/>
          <w:color w:val="000000" w:themeColor="text1"/>
        </w:rPr>
        <w:footnoteReference w:id="43"/>
      </w:r>
      <w:r w:rsidR="005132C9">
        <w:rPr>
          <w:color w:val="000000" w:themeColor="text1"/>
        </w:rPr>
        <w:t xml:space="preserve"> and chose Robert Morris to run the </w:t>
      </w:r>
      <w:proofErr w:type="gramStart"/>
      <w:r w:rsidR="005132C9">
        <w:rPr>
          <w:color w:val="000000" w:themeColor="text1"/>
        </w:rPr>
        <w:t>newly-create</w:t>
      </w:r>
      <w:r w:rsidR="00013B69">
        <w:rPr>
          <w:color w:val="000000" w:themeColor="text1"/>
        </w:rPr>
        <w:t>d</w:t>
      </w:r>
      <w:proofErr w:type="gramEnd"/>
      <w:r w:rsidR="00013B69">
        <w:rPr>
          <w:color w:val="000000" w:themeColor="text1"/>
        </w:rPr>
        <w:t xml:space="preserve"> </w:t>
      </w:r>
      <w:r w:rsidR="005132C9">
        <w:rPr>
          <w:color w:val="000000" w:themeColor="text1"/>
        </w:rPr>
        <w:t>Department of Finance. Morris was ‘a prominent Philadelphia merchant and committed nationalist who sat in Congress from 1775 to 1778’.</w:t>
      </w:r>
      <w:r w:rsidR="005132C9">
        <w:rPr>
          <w:rStyle w:val="FootnoteReference"/>
          <w:color w:val="000000" w:themeColor="text1"/>
        </w:rPr>
        <w:footnoteReference w:id="44"/>
      </w:r>
      <w:r w:rsidR="005132C9">
        <w:rPr>
          <w:color w:val="000000" w:themeColor="text1"/>
        </w:rPr>
        <w:t xml:space="preserve"> Also in 1781, Congress </w:t>
      </w:r>
      <w:r w:rsidR="002D16B0">
        <w:rPr>
          <w:color w:val="000000" w:themeColor="text1"/>
        </w:rPr>
        <w:t>asked the states to grant it power to ‘collect a 5 per cent impost on all foreign goods imported into the United States’.</w:t>
      </w:r>
      <w:r w:rsidR="002D16B0">
        <w:rPr>
          <w:rStyle w:val="FootnoteReference"/>
          <w:color w:val="000000" w:themeColor="text1"/>
        </w:rPr>
        <w:footnoteReference w:id="45"/>
      </w:r>
      <w:r w:rsidR="002D16B0">
        <w:rPr>
          <w:color w:val="000000" w:themeColor="text1"/>
        </w:rPr>
        <w:t xml:space="preserve"> As noted earlier, Congress did not have taxing powers, </w:t>
      </w:r>
      <w:r w:rsidR="00EA32F7">
        <w:rPr>
          <w:color w:val="000000" w:themeColor="text1"/>
        </w:rPr>
        <w:t xml:space="preserve">and could only tax with agreement from the states – which they did not grant, and both the Congress and individual states ended the </w:t>
      </w:r>
      <w:r w:rsidR="00BA37A1">
        <w:rPr>
          <w:color w:val="000000" w:themeColor="text1"/>
        </w:rPr>
        <w:t>W</w:t>
      </w:r>
      <w:r w:rsidR="00EA32F7">
        <w:rPr>
          <w:color w:val="000000" w:themeColor="text1"/>
        </w:rPr>
        <w:t>ar</w:t>
      </w:r>
      <w:r w:rsidR="005C7780">
        <w:rPr>
          <w:color w:val="000000" w:themeColor="text1"/>
        </w:rPr>
        <w:t xml:space="preserve"> with massive public debts, with some 50 to 90 per cent of post-</w:t>
      </w:r>
      <w:r w:rsidR="00BA37A1">
        <w:rPr>
          <w:color w:val="000000" w:themeColor="text1"/>
        </w:rPr>
        <w:t>W</w:t>
      </w:r>
      <w:r w:rsidR="005C7780">
        <w:rPr>
          <w:color w:val="000000" w:themeColor="text1"/>
        </w:rPr>
        <w:t>ar state revenues being allocated to service interest on debts</w:t>
      </w:r>
      <w:r w:rsidR="00CD358D">
        <w:rPr>
          <w:color w:val="000000" w:themeColor="text1"/>
        </w:rPr>
        <w:t>.</w:t>
      </w:r>
      <w:r w:rsidR="00CD358D">
        <w:rPr>
          <w:rStyle w:val="FootnoteReference"/>
          <w:color w:val="000000" w:themeColor="text1"/>
        </w:rPr>
        <w:footnoteReference w:id="46"/>
      </w:r>
      <w:r w:rsidR="00CD358D">
        <w:rPr>
          <w:color w:val="000000" w:themeColor="text1"/>
        </w:rPr>
        <w:t xml:space="preserve"> This revenue they attempted to raise by heavy new general taxes and indirect taxes</w:t>
      </w:r>
      <w:r w:rsidR="009434B5">
        <w:rPr>
          <w:color w:val="000000" w:themeColor="text1"/>
        </w:rPr>
        <w:t xml:space="preserve"> and generally attempting to revalue (or, rather, devalue) debt.</w:t>
      </w:r>
    </w:p>
    <w:p w14:paraId="7B54FAA4" w14:textId="06206602" w:rsidR="00204081" w:rsidRDefault="00204081" w:rsidP="00F437B6">
      <w:pPr>
        <w:autoSpaceDE w:val="0"/>
        <w:autoSpaceDN w:val="0"/>
        <w:adjustRightInd w:val="0"/>
        <w:spacing w:after="0" w:line="240" w:lineRule="auto"/>
        <w:ind w:right="-22"/>
        <w:jc w:val="both"/>
        <w:rPr>
          <w:color w:val="000000" w:themeColor="text1"/>
        </w:rPr>
      </w:pPr>
    </w:p>
    <w:p w14:paraId="23F61B18" w14:textId="3C75A7DD" w:rsidR="00204081" w:rsidRPr="009434B5" w:rsidRDefault="009434B5" w:rsidP="009434B5">
      <w:pPr>
        <w:autoSpaceDE w:val="0"/>
        <w:autoSpaceDN w:val="0"/>
        <w:adjustRightInd w:val="0"/>
        <w:spacing w:after="0" w:line="240" w:lineRule="auto"/>
        <w:ind w:left="720" w:right="662"/>
        <w:jc w:val="both"/>
        <w:rPr>
          <w:color w:val="000000" w:themeColor="text1"/>
        </w:rPr>
      </w:pPr>
      <w:r w:rsidRPr="009434B5">
        <w:t>Throughout the new republic, as taxes rose to sink</w:t>
      </w:r>
      <w:r>
        <w:rPr>
          <w:rStyle w:val="FootnoteReference"/>
        </w:rPr>
        <w:footnoteReference w:id="47"/>
      </w:r>
      <w:r w:rsidRPr="009434B5">
        <w:t xml:space="preserve"> the states’ debts </w:t>
      </w:r>
      <w:proofErr w:type="gramStart"/>
      <w:r w:rsidRPr="009434B5">
        <w:t>in the midst of</w:t>
      </w:r>
      <w:proofErr w:type="gramEnd"/>
      <w:r w:rsidRPr="009434B5">
        <w:t xml:space="preserve"> deflation and depression, angry taxpayers began demanding relief – tax abatements and postponements, the right to pay in virtually any sort of outstanding state or federal notes or certificates, or to pay in commodities and produce. Most states (Massachusetts excepted) adopted extensive tax relief programs in the mid-1780s. Among the most popular demands of the protesters, and politically the most volatile, was the renewed emission of state legal-tender paper money which, harassed taxpayers believed, would make both taxes and private debts easier to pay.</w:t>
      </w:r>
      <w:r w:rsidR="00625AE1">
        <w:rPr>
          <w:rStyle w:val="FootnoteReference"/>
        </w:rPr>
        <w:footnoteReference w:id="48"/>
      </w:r>
    </w:p>
    <w:p w14:paraId="6E9D3CE5" w14:textId="6FCD7F0C" w:rsidR="00204081" w:rsidRDefault="00204081" w:rsidP="00F437B6">
      <w:pPr>
        <w:autoSpaceDE w:val="0"/>
        <w:autoSpaceDN w:val="0"/>
        <w:adjustRightInd w:val="0"/>
        <w:spacing w:after="0" w:line="240" w:lineRule="auto"/>
        <w:ind w:right="-22"/>
        <w:jc w:val="both"/>
        <w:rPr>
          <w:color w:val="000000" w:themeColor="text1"/>
        </w:rPr>
      </w:pPr>
    </w:p>
    <w:p w14:paraId="398FDC02" w14:textId="259F8B6C" w:rsidR="009434B5" w:rsidRDefault="00625AE1" w:rsidP="00F437B6">
      <w:pPr>
        <w:autoSpaceDE w:val="0"/>
        <w:autoSpaceDN w:val="0"/>
        <w:adjustRightInd w:val="0"/>
        <w:spacing w:after="0" w:line="240" w:lineRule="auto"/>
        <w:ind w:right="-22"/>
        <w:jc w:val="both"/>
        <w:rPr>
          <w:color w:val="000000" w:themeColor="text1"/>
        </w:rPr>
      </w:pPr>
      <w:r>
        <w:rPr>
          <w:color w:val="000000" w:themeColor="text1"/>
        </w:rPr>
        <w:t xml:space="preserve">Nonetheless, Becker believes that in general the states </w:t>
      </w:r>
      <w:r w:rsidR="00935C56">
        <w:rPr>
          <w:color w:val="000000" w:themeColor="text1"/>
        </w:rPr>
        <w:t>managed their post-war debts with considerable success, but the methods by which it was achieved (‘devaluation of debt, currency inflation, tax suspensions and abatements, and the impoverishment of Congress’</w:t>
      </w:r>
      <w:r w:rsidR="00935C56">
        <w:rPr>
          <w:rStyle w:val="FootnoteReference"/>
          <w:color w:val="000000" w:themeColor="text1"/>
        </w:rPr>
        <w:footnoteReference w:id="49"/>
      </w:r>
      <w:r w:rsidR="00935C56">
        <w:rPr>
          <w:color w:val="000000" w:themeColor="text1"/>
        </w:rPr>
        <w:t>) caused Hamilton, Madison</w:t>
      </w:r>
      <w:r w:rsidR="001B4A6A">
        <w:rPr>
          <w:color w:val="000000" w:themeColor="text1"/>
        </w:rPr>
        <w:t>, Morris</w:t>
      </w:r>
      <w:r w:rsidR="00935C56">
        <w:rPr>
          <w:color w:val="000000" w:themeColor="text1"/>
        </w:rPr>
        <w:t xml:space="preserve"> and other</w:t>
      </w:r>
      <w:r w:rsidR="00641017">
        <w:rPr>
          <w:color w:val="000000" w:themeColor="text1"/>
        </w:rPr>
        <w:t xml:space="preserve">s like them </w:t>
      </w:r>
      <w:r w:rsidR="002030EC">
        <w:rPr>
          <w:color w:val="000000" w:themeColor="text1"/>
        </w:rPr>
        <w:t xml:space="preserve">to believe </w:t>
      </w:r>
      <w:r w:rsidR="00641017">
        <w:rPr>
          <w:color w:val="000000" w:themeColor="text1"/>
        </w:rPr>
        <w:t xml:space="preserve">that the existing constitutional arrangements were flawed, and that national fiscal and monetary policies </w:t>
      </w:r>
      <w:r w:rsidR="002030EC">
        <w:rPr>
          <w:color w:val="000000" w:themeColor="text1"/>
        </w:rPr>
        <w:t>should</w:t>
      </w:r>
      <w:r w:rsidR="00641017">
        <w:rPr>
          <w:color w:val="000000" w:themeColor="text1"/>
        </w:rPr>
        <w:t xml:space="preserve"> be put beyond popular caprice and the power of state legislatures. </w:t>
      </w:r>
      <w:r w:rsidR="005C61A7">
        <w:rPr>
          <w:color w:val="000000" w:themeColor="text1"/>
        </w:rPr>
        <w:t xml:space="preserve">In this they were supported by Paine, whose pamphlet, </w:t>
      </w:r>
      <w:r w:rsidR="005C61A7" w:rsidRPr="009F6114">
        <w:rPr>
          <w:i/>
          <w:iCs/>
        </w:rPr>
        <w:t xml:space="preserve">Pamphlet 9b The Crisis Extraordinary. </w:t>
      </w:r>
      <w:proofErr w:type="gramStart"/>
      <w:r w:rsidR="005C61A7" w:rsidRPr="009F6114">
        <w:rPr>
          <w:i/>
          <w:iCs/>
        </w:rPr>
        <w:t>On The Subject of Taxation</w:t>
      </w:r>
      <w:proofErr w:type="gramEnd"/>
      <w:r w:rsidR="005C61A7">
        <w:rPr>
          <w:color w:val="000000" w:themeColor="text1"/>
        </w:rPr>
        <w:t>,</w:t>
      </w:r>
      <w:r w:rsidR="005C61A7">
        <w:rPr>
          <w:rStyle w:val="FootnoteReference"/>
          <w:color w:val="000000" w:themeColor="text1"/>
        </w:rPr>
        <w:footnoteReference w:id="50"/>
      </w:r>
      <w:r w:rsidR="005C61A7">
        <w:rPr>
          <w:color w:val="000000" w:themeColor="text1"/>
        </w:rPr>
        <w:t xml:space="preserve"> written in Philadelphia in 1780</w:t>
      </w:r>
      <w:r w:rsidR="00250373">
        <w:rPr>
          <w:color w:val="000000" w:themeColor="text1"/>
        </w:rPr>
        <w:t>,</w:t>
      </w:r>
      <w:r w:rsidR="005C61A7">
        <w:rPr>
          <w:color w:val="000000" w:themeColor="text1"/>
        </w:rPr>
        <w:t xml:space="preserve"> expressed deep concern about the cost of the </w:t>
      </w:r>
      <w:r w:rsidR="00BA37A1">
        <w:rPr>
          <w:color w:val="000000" w:themeColor="text1"/>
        </w:rPr>
        <w:t>W</w:t>
      </w:r>
      <w:r w:rsidR="005C61A7">
        <w:rPr>
          <w:color w:val="000000" w:themeColor="text1"/>
        </w:rPr>
        <w:t xml:space="preserve">ar and how it might be paid for by taxation measures. </w:t>
      </w:r>
      <w:r w:rsidR="00641017">
        <w:rPr>
          <w:color w:val="000000" w:themeColor="text1"/>
        </w:rPr>
        <w:t xml:space="preserve">The debate between </w:t>
      </w:r>
      <w:r w:rsidR="00250373">
        <w:rPr>
          <w:color w:val="000000" w:themeColor="text1"/>
        </w:rPr>
        <w:t>t</w:t>
      </w:r>
      <w:r w:rsidR="002030EC">
        <w:rPr>
          <w:color w:val="000000" w:themeColor="text1"/>
        </w:rPr>
        <w:t>he Federalists and the Anti-Federalists thus had deep roots.</w:t>
      </w:r>
    </w:p>
    <w:p w14:paraId="6A60BF36" w14:textId="1C947846" w:rsidR="009434B5" w:rsidRDefault="009434B5" w:rsidP="00F437B6">
      <w:pPr>
        <w:autoSpaceDE w:val="0"/>
        <w:autoSpaceDN w:val="0"/>
        <w:adjustRightInd w:val="0"/>
        <w:spacing w:after="0" w:line="240" w:lineRule="auto"/>
        <w:ind w:right="-22"/>
        <w:jc w:val="both"/>
        <w:rPr>
          <w:color w:val="000000" w:themeColor="text1"/>
        </w:rPr>
      </w:pPr>
    </w:p>
    <w:p w14:paraId="06D6E05D" w14:textId="6A0701CA" w:rsidR="009434B5" w:rsidRDefault="009434B5" w:rsidP="00F437B6">
      <w:pPr>
        <w:autoSpaceDE w:val="0"/>
        <w:autoSpaceDN w:val="0"/>
        <w:adjustRightInd w:val="0"/>
        <w:spacing w:after="0" w:line="240" w:lineRule="auto"/>
        <w:ind w:right="-22"/>
        <w:jc w:val="both"/>
        <w:rPr>
          <w:color w:val="000000" w:themeColor="text1"/>
        </w:rPr>
      </w:pPr>
    </w:p>
    <w:p w14:paraId="29DC91F4" w14:textId="0DD802E1" w:rsidR="002D3A5C" w:rsidRDefault="002D3A5C" w:rsidP="00F437B6">
      <w:pPr>
        <w:autoSpaceDE w:val="0"/>
        <w:autoSpaceDN w:val="0"/>
        <w:adjustRightInd w:val="0"/>
        <w:spacing w:after="0" w:line="240" w:lineRule="auto"/>
        <w:ind w:right="-22"/>
        <w:jc w:val="both"/>
        <w:rPr>
          <w:color w:val="000000" w:themeColor="text1"/>
        </w:rPr>
      </w:pPr>
    </w:p>
    <w:p w14:paraId="32F31EEC" w14:textId="33F60B84" w:rsidR="002D3A5C" w:rsidRDefault="002D3A5C" w:rsidP="00F437B6">
      <w:pPr>
        <w:autoSpaceDE w:val="0"/>
        <w:autoSpaceDN w:val="0"/>
        <w:adjustRightInd w:val="0"/>
        <w:spacing w:after="0" w:line="240" w:lineRule="auto"/>
        <w:ind w:right="-22"/>
        <w:jc w:val="both"/>
        <w:rPr>
          <w:color w:val="000000" w:themeColor="text1"/>
        </w:rPr>
      </w:pPr>
    </w:p>
    <w:p w14:paraId="0124A13F" w14:textId="754A9CA4" w:rsidR="002D3A5C" w:rsidRDefault="002D3A5C" w:rsidP="00F437B6">
      <w:pPr>
        <w:autoSpaceDE w:val="0"/>
        <w:autoSpaceDN w:val="0"/>
        <w:adjustRightInd w:val="0"/>
        <w:spacing w:after="0" w:line="240" w:lineRule="auto"/>
        <w:ind w:right="-22"/>
        <w:jc w:val="both"/>
        <w:rPr>
          <w:color w:val="000000" w:themeColor="text1"/>
        </w:rPr>
      </w:pPr>
    </w:p>
    <w:p w14:paraId="4A68269B" w14:textId="189DE466" w:rsidR="002D3A5C" w:rsidRDefault="002D3A5C" w:rsidP="00F437B6">
      <w:pPr>
        <w:autoSpaceDE w:val="0"/>
        <w:autoSpaceDN w:val="0"/>
        <w:adjustRightInd w:val="0"/>
        <w:spacing w:after="0" w:line="240" w:lineRule="auto"/>
        <w:ind w:right="-22"/>
        <w:jc w:val="both"/>
        <w:rPr>
          <w:color w:val="000000" w:themeColor="text1"/>
        </w:rPr>
      </w:pPr>
    </w:p>
    <w:p w14:paraId="7C4FD998" w14:textId="1E5B936F" w:rsidR="002D3A5C" w:rsidRDefault="002D3A5C" w:rsidP="00F437B6">
      <w:pPr>
        <w:autoSpaceDE w:val="0"/>
        <w:autoSpaceDN w:val="0"/>
        <w:adjustRightInd w:val="0"/>
        <w:spacing w:after="0" w:line="240" w:lineRule="auto"/>
        <w:ind w:right="-22"/>
        <w:jc w:val="both"/>
        <w:rPr>
          <w:color w:val="000000" w:themeColor="text1"/>
        </w:rPr>
      </w:pPr>
    </w:p>
    <w:p w14:paraId="3A33BC80" w14:textId="77777777" w:rsidR="002D3A5C" w:rsidRDefault="002D3A5C" w:rsidP="00F437B6">
      <w:pPr>
        <w:autoSpaceDE w:val="0"/>
        <w:autoSpaceDN w:val="0"/>
        <w:adjustRightInd w:val="0"/>
        <w:spacing w:after="0" w:line="240" w:lineRule="auto"/>
        <w:ind w:right="-22"/>
        <w:jc w:val="both"/>
        <w:rPr>
          <w:color w:val="000000" w:themeColor="text1"/>
        </w:rPr>
      </w:pPr>
    </w:p>
    <w:p w14:paraId="24026CA7" w14:textId="44DF736C" w:rsidR="00F437B6" w:rsidRDefault="00123E1B" w:rsidP="00123E1B">
      <w:pPr>
        <w:autoSpaceDE w:val="0"/>
        <w:autoSpaceDN w:val="0"/>
        <w:adjustRightInd w:val="0"/>
        <w:spacing w:after="0" w:line="240" w:lineRule="auto"/>
        <w:ind w:right="-22"/>
        <w:jc w:val="center"/>
        <w:rPr>
          <w:color w:val="000000" w:themeColor="text1"/>
        </w:rPr>
      </w:pPr>
      <w:r>
        <w:rPr>
          <w:color w:val="000000" w:themeColor="text1"/>
        </w:rPr>
        <w:t>INFLUENCES ON POLITICAL AND TAX THINKING</w:t>
      </w:r>
    </w:p>
    <w:p w14:paraId="3A949B19" w14:textId="77777777" w:rsidR="00F437B6" w:rsidRDefault="00F437B6" w:rsidP="00F437B6">
      <w:pPr>
        <w:autoSpaceDE w:val="0"/>
        <w:autoSpaceDN w:val="0"/>
        <w:adjustRightInd w:val="0"/>
        <w:spacing w:after="0" w:line="240" w:lineRule="auto"/>
        <w:ind w:right="-22"/>
        <w:jc w:val="both"/>
        <w:rPr>
          <w:color w:val="000000" w:themeColor="text1"/>
        </w:rPr>
      </w:pPr>
    </w:p>
    <w:p w14:paraId="4A4123F1" w14:textId="1A9D04A4" w:rsidR="00F437B6" w:rsidRDefault="00A04EDE" w:rsidP="00D42E7A">
      <w:pPr>
        <w:autoSpaceDE w:val="0"/>
        <w:autoSpaceDN w:val="0"/>
        <w:adjustRightInd w:val="0"/>
        <w:spacing w:after="0" w:line="240" w:lineRule="auto"/>
        <w:ind w:right="-22"/>
        <w:jc w:val="both"/>
        <w:rPr>
          <w:color w:val="000000" w:themeColor="text1"/>
        </w:rPr>
      </w:pPr>
      <w:r>
        <w:rPr>
          <w:color w:val="000000" w:themeColor="text1"/>
        </w:rPr>
        <w:t>Colonial dissent did not, of course, develop in a vacuum</w:t>
      </w:r>
      <w:r w:rsidR="00554226">
        <w:rPr>
          <w:color w:val="000000" w:themeColor="text1"/>
        </w:rPr>
        <w:t>, but was informed and influenced by ideas propounded by great legal and philosophical minds.</w:t>
      </w:r>
      <w:r w:rsidR="004E2F6D">
        <w:rPr>
          <w:rStyle w:val="FootnoteReference"/>
          <w:color w:val="000000" w:themeColor="text1"/>
        </w:rPr>
        <w:footnoteReference w:id="51"/>
      </w:r>
      <w:r w:rsidR="00554226">
        <w:rPr>
          <w:color w:val="000000" w:themeColor="text1"/>
        </w:rPr>
        <w:t xml:space="preserve"> </w:t>
      </w:r>
      <w:proofErr w:type="spellStart"/>
      <w:r w:rsidR="00554226">
        <w:rPr>
          <w:color w:val="000000" w:themeColor="text1"/>
        </w:rPr>
        <w:t>Asadi</w:t>
      </w:r>
      <w:proofErr w:type="spellEnd"/>
      <w:r w:rsidR="00554226">
        <w:rPr>
          <w:rStyle w:val="FootnoteReference"/>
          <w:color w:val="000000" w:themeColor="text1"/>
        </w:rPr>
        <w:footnoteReference w:id="52"/>
      </w:r>
      <w:r w:rsidR="00D07753">
        <w:rPr>
          <w:color w:val="000000" w:themeColor="text1"/>
        </w:rPr>
        <w:t xml:space="preserve"> makes the point that</w:t>
      </w:r>
      <w:r w:rsidR="002A7A54">
        <w:rPr>
          <w:color w:val="000000" w:themeColor="text1"/>
        </w:rPr>
        <w:t>,</w:t>
      </w:r>
      <w:r w:rsidR="00D07753">
        <w:rPr>
          <w:color w:val="000000" w:themeColor="text1"/>
        </w:rPr>
        <w:t xml:space="preserve"> </w:t>
      </w:r>
      <w:proofErr w:type="gramStart"/>
      <w:r w:rsidR="00D07753">
        <w:rPr>
          <w:color w:val="000000" w:themeColor="text1"/>
        </w:rPr>
        <w:t>in the area of</w:t>
      </w:r>
      <w:proofErr w:type="gramEnd"/>
      <w:r w:rsidR="00D07753">
        <w:rPr>
          <w:color w:val="000000" w:themeColor="text1"/>
        </w:rPr>
        <w:t xml:space="preserve"> constitutional development, law and philosophy are very closely linked. He examines particu</w:t>
      </w:r>
      <w:r w:rsidR="00C0122E">
        <w:rPr>
          <w:color w:val="000000" w:themeColor="text1"/>
        </w:rPr>
        <w:t xml:space="preserve">larly the influence of John Locke on Founding Fathers Samuel Adams, Thomas Jefferson, James Madison, Alexander </w:t>
      </w:r>
      <w:proofErr w:type="gramStart"/>
      <w:r w:rsidR="00C0122E">
        <w:rPr>
          <w:color w:val="000000" w:themeColor="text1"/>
        </w:rPr>
        <w:t>Hamilton</w:t>
      </w:r>
      <w:proofErr w:type="gramEnd"/>
      <w:r w:rsidR="00C0122E">
        <w:rPr>
          <w:color w:val="000000" w:themeColor="text1"/>
        </w:rPr>
        <w:t xml:space="preserve"> and John Adams. However, the </w:t>
      </w:r>
      <w:r w:rsidR="00AB3BAB">
        <w:rPr>
          <w:color w:val="000000" w:themeColor="text1"/>
        </w:rPr>
        <w:t>1984 article by</w:t>
      </w:r>
      <w:r w:rsidR="00C0122E">
        <w:rPr>
          <w:color w:val="000000" w:themeColor="text1"/>
        </w:rPr>
        <w:t xml:space="preserve"> of Donald Lutz</w:t>
      </w:r>
      <w:r w:rsidR="00C0122E">
        <w:rPr>
          <w:rStyle w:val="FootnoteReference"/>
          <w:color w:val="000000" w:themeColor="text1"/>
        </w:rPr>
        <w:footnoteReference w:id="53"/>
      </w:r>
      <w:r w:rsidR="00C0122E">
        <w:rPr>
          <w:color w:val="000000" w:themeColor="text1"/>
        </w:rPr>
        <w:t xml:space="preserve"> reveals a wealth of different influences at work.</w:t>
      </w:r>
      <w:r w:rsidR="00AB3BAB">
        <w:rPr>
          <w:color w:val="000000" w:themeColor="text1"/>
        </w:rPr>
        <w:t xml:space="preserve"> He starts by summarising earlier work that had examined various writers’ influences </w:t>
      </w:r>
      <w:proofErr w:type="gramStart"/>
      <w:r w:rsidR="00AB3BAB">
        <w:rPr>
          <w:color w:val="000000" w:themeColor="text1"/>
        </w:rPr>
        <w:t xml:space="preserve">through </w:t>
      </w:r>
      <w:r w:rsidR="007A19D1">
        <w:rPr>
          <w:color w:val="000000" w:themeColor="text1"/>
        </w:rPr>
        <w:t>the use of</w:t>
      </w:r>
      <w:proofErr w:type="gramEnd"/>
      <w:r w:rsidR="007A19D1">
        <w:rPr>
          <w:color w:val="000000" w:themeColor="text1"/>
        </w:rPr>
        <w:t xml:space="preserve"> </w:t>
      </w:r>
      <w:r w:rsidR="00AB3BAB">
        <w:rPr>
          <w:color w:val="000000" w:themeColor="text1"/>
        </w:rPr>
        <w:t xml:space="preserve">textual analysis, </w:t>
      </w:r>
      <w:r w:rsidR="007A19D1">
        <w:rPr>
          <w:color w:val="000000" w:themeColor="text1"/>
        </w:rPr>
        <w:t xml:space="preserve">assessment of the </w:t>
      </w:r>
      <w:r w:rsidR="00AB3BAB">
        <w:rPr>
          <w:color w:val="000000" w:themeColor="text1"/>
        </w:rPr>
        <w:t>educational back</w:t>
      </w:r>
      <w:r w:rsidR="007A19D1">
        <w:rPr>
          <w:color w:val="000000" w:themeColor="text1"/>
        </w:rPr>
        <w:t>ground of prominent American political writers (</w:t>
      </w:r>
      <w:r w:rsidR="007051E3">
        <w:rPr>
          <w:color w:val="000000" w:themeColor="text1"/>
        </w:rPr>
        <w:t>e.g., Madison,</w:t>
      </w:r>
      <w:r w:rsidR="007A19D1">
        <w:rPr>
          <w:color w:val="000000" w:themeColor="text1"/>
        </w:rPr>
        <w:t xml:space="preserve"> Hamilton and Jefferson), examination of the books in the libraries of prominent Americans, and of institutions, library companies, private libraries, and also of booksellers’ catalogues</w:t>
      </w:r>
      <w:r w:rsidR="00D42E7A">
        <w:rPr>
          <w:color w:val="000000" w:themeColor="text1"/>
        </w:rPr>
        <w:t>. Lutz’s approach was different. In his own words:</w:t>
      </w:r>
      <w:r w:rsidR="00055440">
        <w:rPr>
          <w:rStyle w:val="FootnoteReference"/>
          <w:color w:val="000000" w:themeColor="text1"/>
        </w:rPr>
        <w:footnoteReference w:id="54"/>
      </w:r>
    </w:p>
    <w:p w14:paraId="762A6931" w14:textId="656109C5" w:rsidR="00D42E7A" w:rsidRDefault="00D42E7A" w:rsidP="00D42E7A">
      <w:pPr>
        <w:autoSpaceDE w:val="0"/>
        <w:autoSpaceDN w:val="0"/>
        <w:adjustRightInd w:val="0"/>
        <w:spacing w:after="0" w:line="240" w:lineRule="auto"/>
        <w:ind w:right="-22"/>
        <w:jc w:val="both"/>
        <w:rPr>
          <w:color w:val="000000" w:themeColor="text1"/>
        </w:rPr>
      </w:pPr>
    </w:p>
    <w:p w14:paraId="56C0ADD8" w14:textId="36945181" w:rsidR="00D42E7A" w:rsidRPr="00055440" w:rsidRDefault="00D42E7A" w:rsidP="004A3F29">
      <w:pPr>
        <w:autoSpaceDE w:val="0"/>
        <w:autoSpaceDN w:val="0"/>
        <w:adjustRightInd w:val="0"/>
        <w:spacing w:after="0" w:line="240" w:lineRule="auto"/>
        <w:ind w:left="720" w:right="662"/>
        <w:jc w:val="both"/>
        <w:rPr>
          <w:color w:val="000000" w:themeColor="text1"/>
        </w:rPr>
      </w:pPr>
      <w:r w:rsidRPr="00055440">
        <w:t xml:space="preserve">Approximately ten years ago this author set out with Charles S. Hyneman to read comprehensively the political writings of Americans published between 1760 and 1805. This period was defined as the </w:t>
      </w:r>
      <w:r w:rsidR="00691311">
        <w:t>‘</w:t>
      </w:r>
      <w:r w:rsidRPr="00055440">
        <w:t>founding era</w:t>
      </w:r>
      <w:r w:rsidR="00691311">
        <w:t>’</w:t>
      </w:r>
      <w:r w:rsidRPr="00055440">
        <w:t xml:space="preserve"> during which the theory and institutions informing the state and national constitutions took final form. Reviewing an estimated 15,000 </w:t>
      </w:r>
      <w:proofErr w:type="gramStart"/>
      <w:r w:rsidRPr="00055440">
        <w:t>items, and</w:t>
      </w:r>
      <w:proofErr w:type="gramEnd"/>
      <w:r w:rsidRPr="00055440">
        <w:t xml:space="preserve"> reading closely some 2,200 items with explicitly political content, we identified and rated those with the most significant and coherent theoretical content. Included were all books, pamphlets, newspaper articles, and monographs printed for public consumption. Excluded was anything that remained private and so did not enter public consciousness, such as letters and notes. </w:t>
      </w:r>
      <w:proofErr w:type="gramStart"/>
      <w:r w:rsidRPr="00055440">
        <w:t>Essentially</w:t>
      </w:r>
      <w:proofErr w:type="gramEnd"/>
      <w:r w:rsidRPr="00055440">
        <w:t xml:space="preserve"> we exhausted all those items reproduced in collections published by historians, the newspapers available in the Library of Congress, the early American imprints held by the Lilly Library at Indiana University, the Huntington Library in San Marino, California, and the Library of Congress. Finally, we examined the two volumes of Shipton and Mooney, National Index of American Imprints, for items in the Evans collection of early American imprints on </w:t>
      </w:r>
      <w:proofErr w:type="spellStart"/>
      <w:r w:rsidRPr="00055440">
        <w:t>microcard</w:t>
      </w:r>
      <w:proofErr w:type="spellEnd"/>
      <w:r w:rsidRPr="00055440">
        <w:t>.</w:t>
      </w:r>
    </w:p>
    <w:p w14:paraId="24B688C1" w14:textId="512ED405" w:rsidR="00D42E7A" w:rsidRPr="00055440" w:rsidRDefault="00055440" w:rsidP="004A3F29">
      <w:pPr>
        <w:autoSpaceDE w:val="0"/>
        <w:autoSpaceDN w:val="0"/>
        <w:adjustRightInd w:val="0"/>
        <w:spacing w:after="0" w:line="240" w:lineRule="auto"/>
        <w:ind w:left="720" w:right="662" w:firstLine="720"/>
        <w:jc w:val="both"/>
        <w:rPr>
          <w:color w:val="000000" w:themeColor="text1"/>
        </w:rPr>
      </w:pPr>
      <w:r w:rsidRPr="00055440">
        <w:t xml:space="preserve">The resulting sample has 916 items, which include 3,154 references to 224 different individuals. The sample includes </w:t>
      </w:r>
      <w:proofErr w:type="gramStart"/>
      <w:r w:rsidRPr="00055440">
        <w:t>all of</w:t>
      </w:r>
      <w:proofErr w:type="gramEnd"/>
      <w:r w:rsidRPr="00055440">
        <w:t xml:space="preserve"> the Anti-Federalist pieces identified by Storing (1981)</w:t>
      </w:r>
      <w:r>
        <w:rPr>
          <w:rStyle w:val="FootnoteReference"/>
        </w:rPr>
        <w:footnoteReference w:id="55"/>
      </w:r>
      <w:r w:rsidRPr="00055440">
        <w:t xml:space="preserve"> plus 33 more, for a total of 197 Anti-Federalist piece</w:t>
      </w:r>
      <w:r>
        <w:t>s. It also includes</w:t>
      </w:r>
      <w:r w:rsidR="002A7A54">
        <w:t xml:space="preserve"> 190 items written by Federalists.</w:t>
      </w:r>
    </w:p>
    <w:p w14:paraId="39EA6019" w14:textId="6F75777F" w:rsidR="00D42E7A" w:rsidRDefault="00D42E7A" w:rsidP="00D42E7A">
      <w:pPr>
        <w:autoSpaceDE w:val="0"/>
        <w:autoSpaceDN w:val="0"/>
        <w:adjustRightInd w:val="0"/>
        <w:spacing w:after="0" w:line="240" w:lineRule="auto"/>
        <w:ind w:right="-22"/>
        <w:jc w:val="both"/>
        <w:rPr>
          <w:color w:val="000000" w:themeColor="text1"/>
        </w:rPr>
      </w:pPr>
    </w:p>
    <w:p w14:paraId="087629DE" w14:textId="63EA4864" w:rsidR="00D42E7A" w:rsidRDefault="004A3F29" w:rsidP="00D42E7A">
      <w:pPr>
        <w:autoSpaceDE w:val="0"/>
        <w:autoSpaceDN w:val="0"/>
        <w:adjustRightInd w:val="0"/>
        <w:spacing w:after="0" w:line="240" w:lineRule="auto"/>
        <w:ind w:right="-22"/>
        <w:jc w:val="both"/>
        <w:rPr>
          <w:color w:val="000000" w:themeColor="text1"/>
        </w:rPr>
      </w:pPr>
      <w:r>
        <w:rPr>
          <w:color w:val="000000" w:themeColor="text1"/>
        </w:rPr>
        <w:t xml:space="preserve">Lutz goes on to say that the sample did not include proceedings of legislature and conventions, and clarifies that a reference/citation means </w:t>
      </w:r>
      <w:r w:rsidR="002E7D7B">
        <w:rPr>
          <w:color w:val="000000" w:themeColor="text1"/>
        </w:rPr>
        <w:t>‘</w:t>
      </w:r>
      <w:r>
        <w:rPr>
          <w:color w:val="000000" w:themeColor="text1"/>
        </w:rPr>
        <w:t>any footnote, direct quote, attributed paraphrasing, or use of a name in exemplifying a concept or position’.</w:t>
      </w:r>
      <w:r w:rsidR="002E7D7B">
        <w:rPr>
          <w:rStyle w:val="FootnoteReference"/>
          <w:color w:val="000000" w:themeColor="text1"/>
        </w:rPr>
        <w:footnoteReference w:id="56"/>
      </w:r>
      <w:r w:rsidR="007E3918">
        <w:rPr>
          <w:color w:val="000000" w:themeColor="text1"/>
        </w:rPr>
        <w:t xml:space="preserve"> There are obvious flaws with this method, in that it cannot specify how the citations have been used</w:t>
      </w:r>
      <w:r w:rsidR="00672BF3">
        <w:rPr>
          <w:color w:val="000000" w:themeColor="text1"/>
        </w:rPr>
        <w:t>, nor does it identify the particular topic they address</w:t>
      </w:r>
      <w:r w:rsidR="007E3918">
        <w:rPr>
          <w:color w:val="000000" w:themeColor="text1"/>
        </w:rPr>
        <w:t>, although it does establish which writers have been consulted. A further difficulty is that, given the nature of language, it is often possible to express the same ideas by using different words</w:t>
      </w:r>
      <w:r w:rsidR="00AD4D7A">
        <w:rPr>
          <w:color w:val="000000" w:themeColor="text1"/>
        </w:rPr>
        <w:t>, so more subtle uses of ideas may not have been picked up</w:t>
      </w:r>
      <w:r w:rsidR="007E3918">
        <w:rPr>
          <w:color w:val="000000" w:themeColor="text1"/>
        </w:rPr>
        <w:t>.</w:t>
      </w:r>
      <w:r w:rsidR="007E3918">
        <w:rPr>
          <w:rStyle w:val="FootnoteReference"/>
          <w:color w:val="000000" w:themeColor="text1"/>
        </w:rPr>
        <w:footnoteReference w:id="57"/>
      </w:r>
      <w:r w:rsidR="00AD4D7A">
        <w:rPr>
          <w:color w:val="000000" w:themeColor="text1"/>
        </w:rPr>
        <w:t xml:space="preserve"> </w:t>
      </w:r>
      <w:r w:rsidR="00DD7D1B">
        <w:rPr>
          <w:color w:val="000000" w:themeColor="text1"/>
        </w:rPr>
        <w:t>In terms of identifying influences on tax thinking, while this approach does not, for example, help us attribute specific tax ideas to specific writers, it</w:t>
      </w:r>
      <w:r w:rsidR="00013B69">
        <w:rPr>
          <w:color w:val="000000" w:themeColor="text1"/>
        </w:rPr>
        <w:t xml:space="preserve"> does allow us to suggest with some certainty</w:t>
      </w:r>
      <w:r w:rsidR="00DD7D1B">
        <w:rPr>
          <w:color w:val="000000" w:themeColor="text1"/>
        </w:rPr>
        <w:t xml:space="preserve"> </w:t>
      </w:r>
      <w:r w:rsidR="00013B69">
        <w:rPr>
          <w:color w:val="000000" w:themeColor="text1"/>
        </w:rPr>
        <w:t xml:space="preserve">whose ideas may have been considered. </w:t>
      </w:r>
      <w:r w:rsidR="00AD4D7A">
        <w:rPr>
          <w:color w:val="000000" w:themeColor="text1"/>
        </w:rPr>
        <w:t>Lutz notes the use of other sources, which had often been previously overlooked, for example, the Bible, and the common law and classical authors, and includes a table</w:t>
      </w:r>
      <w:r w:rsidR="005604E9">
        <w:rPr>
          <w:color w:val="000000" w:themeColor="text1"/>
        </w:rPr>
        <w:t xml:space="preserve"> of the most cited individuals, </w:t>
      </w:r>
      <w:r w:rsidR="00C21644">
        <w:rPr>
          <w:color w:val="000000" w:themeColor="text1"/>
        </w:rPr>
        <w:t>reproduced</w:t>
      </w:r>
      <w:r w:rsidR="005604E9">
        <w:rPr>
          <w:color w:val="000000" w:themeColor="text1"/>
        </w:rPr>
        <w:t xml:space="preserve"> below, in Figure 3.</w:t>
      </w:r>
    </w:p>
    <w:p w14:paraId="2ED23F95" w14:textId="78E0D66D" w:rsidR="005604E9" w:rsidRDefault="005604E9" w:rsidP="00D42E7A">
      <w:pPr>
        <w:autoSpaceDE w:val="0"/>
        <w:autoSpaceDN w:val="0"/>
        <w:adjustRightInd w:val="0"/>
        <w:spacing w:after="0" w:line="240" w:lineRule="auto"/>
        <w:ind w:right="-22"/>
        <w:jc w:val="both"/>
        <w:rPr>
          <w:color w:val="000000" w:themeColor="text1"/>
        </w:rPr>
      </w:pPr>
    </w:p>
    <w:p w14:paraId="648EFD18" w14:textId="23936814" w:rsidR="005604E9" w:rsidRDefault="00672BF3" w:rsidP="00672BF3">
      <w:pPr>
        <w:autoSpaceDE w:val="0"/>
        <w:autoSpaceDN w:val="0"/>
        <w:adjustRightInd w:val="0"/>
        <w:spacing w:after="0" w:line="240" w:lineRule="auto"/>
        <w:ind w:right="-22" w:firstLine="720"/>
        <w:jc w:val="both"/>
        <w:rPr>
          <w:color w:val="000000" w:themeColor="text1"/>
        </w:rPr>
      </w:pPr>
      <w:r>
        <w:rPr>
          <w:color w:val="000000" w:themeColor="text1"/>
        </w:rPr>
        <w:t>Lutz comments</w:t>
      </w:r>
      <w:r>
        <w:rPr>
          <w:rStyle w:val="FootnoteReference"/>
          <w:color w:val="000000" w:themeColor="text1"/>
        </w:rPr>
        <w:footnoteReference w:id="58"/>
      </w:r>
      <w:r>
        <w:rPr>
          <w:color w:val="000000" w:themeColor="text1"/>
        </w:rPr>
        <w:t xml:space="preserve"> that Montesquieu and Locke are very prominent </w:t>
      </w:r>
      <w:r w:rsidR="0001109E">
        <w:rPr>
          <w:color w:val="000000" w:themeColor="text1"/>
        </w:rPr>
        <w:t xml:space="preserve">in the 1760s – the period seeing the highest number of Enlightenment author citations, and comprise over 60% of all such references – but comprise over 75% of Enlightenment citations during the 1770s. </w:t>
      </w:r>
      <w:r w:rsidR="00994516">
        <w:rPr>
          <w:color w:val="000000" w:themeColor="text1"/>
        </w:rPr>
        <w:t xml:space="preserve">Locke features most prominently in terms of justifying breaking away from England, but Montesquieu as regards constitutional design, </w:t>
      </w:r>
      <w:r w:rsidR="00874F00">
        <w:rPr>
          <w:color w:val="000000" w:themeColor="text1"/>
        </w:rPr>
        <w:t xml:space="preserve">with the latter </w:t>
      </w:r>
      <w:r w:rsidR="00994516">
        <w:rPr>
          <w:color w:val="000000" w:themeColor="text1"/>
        </w:rPr>
        <w:t>increasing to almost 60% of Enlightenment references in the 17</w:t>
      </w:r>
      <w:r w:rsidR="00874F00">
        <w:rPr>
          <w:color w:val="000000" w:themeColor="text1"/>
        </w:rPr>
        <w:t xml:space="preserve">80s when references to Locke fade. As Lutz remarks, this should not surprise us, given that Locke speaks about the basis for government, </w:t>
      </w:r>
      <w:r w:rsidR="008A0C2C">
        <w:rPr>
          <w:color w:val="000000" w:themeColor="text1"/>
        </w:rPr>
        <w:t xml:space="preserve">hence justifying revolt, </w:t>
      </w:r>
      <w:r w:rsidR="00874F00">
        <w:rPr>
          <w:color w:val="000000" w:themeColor="text1"/>
        </w:rPr>
        <w:t>not design of institutions, which fall into Montesquieu’s domain.</w:t>
      </w:r>
    </w:p>
    <w:p w14:paraId="25093880" w14:textId="4C9F7D36" w:rsidR="005604E9" w:rsidRDefault="005604E9" w:rsidP="00D42E7A">
      <w:pPr>
        <w:autoSpaceDE w:val="0"/>
        <w:autoSpaceDN w:val="0"/>
        <w:adjustRightInd w:val="0"/>
        <w:spacing w:after="0" w:line="240" w:lineRule="auto"/>
        <w:ind w:right="-22"/>
        <w:jc w:val="both"/>
        <w:rPr>
          <w:color w:val="000000" w:themeColor="text1"/>
        </w:rPr>
      </w:pPr>
    </w:p>
    <w:p w14:paraId="3A1BBF81" w14:textId="54DC04CD" w:rsidR="00894BDF" w:rsidRDefault="00894BDF" w:rsidP="00894BDF">
      <w:pPr>
        <w:autoSpaceDE w:val="0"/>
        <w:autoSpaceDN w:val="0"/>
        <w:adjustRightInd w:val="0"/>
        <w:spacing w:after="0" w:line="240" w:lineRule="auto"/>
        <w:ind w:right="-22" w:firstLine="720"/>
        <w:jc w:val="both"/>
        <w:rPr>
          <w:color w:val="000000" w:themeColor="text1"/>
        </w:rPr>
      </w:pPr>
      <w:r>
        <w:rPr>
          <w:color w:val="000000" w:themeColor="text1"/>
        </w:rPr>
        <w:t xml:space="preserve">Other writers also feature during the constitution-writing era. Lutz lists Beccaria and </w:t>
      </w:r>
      <w:proofErr w:type="spellStart"/>
      <w:r>
        <w:rPr>
          <w:color w:val="000000" w:themeColor="text1"/>
        </w:rPr>
        <w:t>deLolme</w:t>
      </w:r>
      <w:proofErr w:type="spellEnd"/>
      <w:r>
        <w:rPr>
          <w:color w:val="000000" w:themeColor="text1"/>
        </w:rPr>
        <w:t xml:space="preserve"> (or </w:t>
      </w:r>
      <w:proofErr w:type="spellStart"/>
      <w:r>
        <w:rPr>
          <w:color w:val="000000" w:themeColor="text1"/>
        </w:rPr>
        <w:t>DeLolme</w:t>
      </w:r>
      <w:proofErr w:type="spellEnd"/>
      <w:r>
        <w:rPr>
          <w:color w:val="000000" w:themeColor="text1"/>
        </w:rPr>
        <w:t>), ‘Cato’ (</w:t>
      </w:r>
      <w:proofErr w:type="spellStart"/>
      <w:r>
        <w:rPr>
          <w:color w:val="000000" w:themeColor="text1"/>
        </w:rPr>
        <w:t>Trenchard</w:t>
      </w:r>
      <w:proofErr w:type="spellEnd"/>
      <w:r>
        <w:rPr>
          <w:color w:val="000000" w:themeColor="text1"/>
        </w:rPr>
        <w:t xml:space="preserve"> and Gordon), Hoadley, Bolingbroke, Price, Burgh, Milton, Rollin, Molesworth, Priestly, Macaulay, Sidney, Somers, Harrington, </w:t>
      </w:r>
      <w:proofErr w:type="spellStart"/>
      <w:r>
        <w:rPr>
          <w:color w:val="000000" w:themeColor="text1"/>
        </w:rPr>
        <w:t>Rapin</w:t>
      </w:r>
      <w:proofErr w:type="spellEnd"/>
      <w:r>
        <w:rPr>
          <w:color w:val="000000" w:themeColor="text1"/>
        </w:rPr>
        <w:t xml:space="preserve">, Robertson, Grotius, Rousseau, Pope, </w:t>
      </w:r>
      <w:proofErr w:type="spellStart"/>
      <w:r>
        <w:rPr>
          <w:color w:val="000000" w:themeColor="text1"/>
        </w:rPr>
        <w:t>Raynal</w:t>
      </w:r>
      <w:proofErr w:type="spellEnd"/>
      <w:r>
        <w:rPr>
          <w:color w:val="000000" w:themeColor="text1"/>
        </w:rPr>
        <w:t xml:space="preserve">, </w:t>
      </w:r>
      <w:proofErr w:type="spellStart"/>
      <w:r>
        <w:rPr>
          <w:color w:val="000000" w:themeColor="text1"/>
        </w:rPr>
        <w:t>Mably</w:t>
      </w:r>
      <w:proofErr w:type="spellEnd"/>
      <w:r>
        <w:rPr>
          <w:color w:val="000000" w:themeColor="text1"/>
        </w:rPr>
        <w:t xml:space="preserve">, </w:t>
      </w:r>
      <w:proofErr w:type="spellStart"/>
      <w:r>
        <w:rPr>
          <w:color w:val="000000" w:themeColor="text1"/>
        </w:rPr>
        <w:t>Burlamaqui</w:t>
      </w:r>
      <w:proofErr w:type="spellEnd"/>
      <w:r>
        <w:rPr>
          <w:color w:val="000000" w:themeColor="text1"/>
        </w:rPr>
        <w:t xml:space="preserve"> and </w:t>
      </w:r>
      <w:proofErr w:type="spellStart"/>
      <w:r>
        <w:rPr>
          <w:color w:val="000000" w:themeColor="text1"/>
        </w:rPr>
        <w:t>Vattel</w:t>
      </w:r>
      <w:proofErr w:type="spellEnd"/>
      <w:r>
        <w:rPr>
          <w:color w:val="000000" w:themeColor="text1"/>
        </w:rPr>
        <w:t>,</w:t>
      </w:r>
      <w:r>
        <w:rPr>
          <w:rStyle w:val="FootnoteReference"/>
          <w:color w:val="000000" w:themeColor="text1"/>
        </w:rPr>
        <w:footnoteReference w:id="59"/>
      </w:r>
      <w:r>
        <w:rPr>
          <w:color w:val="000000" w:themeColor="text1"/>
        </w:rPr>
        <w:t xml:space="preserve"> but none were utilised as much as Montesquieu. The citations of Blackstone and Hume increased from the 1770s – both being ‘strong on government process’,</w:t>
      </w:r>
      <w:r>
        <w:rPr>
          <w:rStyle w:val="FootnoteReference"/>
          <w:color w:val="000000" w:themeColor="text1"/>
        </w:rPr>
        <w:footnoteReference w:id="60"/>
      </w:r>
      <w:r>
        <w:rPr>
          <w:color w:val="000000" w:themeColor="text1"/>
        </w:rPr>
        <w:t xml:space="preserve"> but also incidentally ‘extending Locke’s visibility’,</w:t>
      </w:r>
      <w:r>
        <w:rPr>
          <w:rStyle w:val="FootnoteReference"/>
          <w:color w:val="000000" w:themeColor="text1"/>
        </w:rPr>
        <w:footnoteReference w:id="61"/>
      </w:r>
      <w:r>
        <w:rPr>
          <w:color w:val="000000" w:themeColor="text1"/>
        </w:rPr>
        <w:t xml:space="preserve"> as Blackstone cites him </w:t>
      </w:r>
      <w:proofErr w:type="gramStart"/>
      <w:r>
        <w:rPr>
          <w:color w:val="000000" w:themeColor="text1"/>
        </w:rPr>
        <w:t>a number of</w:t>
      </w:r>
      <w:proofErr w:type="gramEnd"/>
      <w:r>
        <w:rPr>
          <w:color w:val="000000" w:themeColor="text1"/>
        </w:rPr>
        <w:t xml:space="preserve"> times, whereas Hume was noted for his opposition to Locke’s views.</w:t>
      </w:r>
    </w:p>
    <w:p w14:paraId="17B1214A" w14:textId="72472310" w:rsidR="00DD7D1B" w:rsidRDefault="00DD7D1B" w:rsidP="00DD7D1B">
      <w:pPr>
        <w:autoSpaceDE w:val="0"/>
        <w:autoSpaceDN w:val="0"/>
        <w:adjustRightInd w:val="0"/>
        <w:spacing w:after="0" w:line="240" w:lineRule="auto"/>
        <w:ind w:right="-22"/>
        <w:jc w:val="both"/>
        <w:rPr>
          <w:color w:val="000000" w:themeColor="text1"/>
        </w:rPr>
      </w:pPr>
    </w:p>
    <w:p w14:paraId="2E190D5B" w14:textId="14DB4555" w:rsidR="00DD7D1B" w:rsidRDefault="00DD7D1B" w:rsidP="00DD7D1B">
      <w:pPr>
        <w:autoSpaceDE w:val="0"/>
        <w:autoSpaceDN w:val="0"/>
        <w:adjustRightInd w:val="0"/>
        <w:spacing w:after="0" w:line="240" w:lineRule="auto"/>
        <w:ind w:right="-22"/>
        <w:jc w:val="both"/>
        <w:rPr>
          <w:color w:val="000000" w:themeColor="text1"/>
        </w:rPr>
      </w:pPr>
    </w:p>
    <w:p w14:paraId="5EA06C73" w14:textId="524EA01C" w:rsidR="005604E9" w:rsidRDefault="005604E9" w:rsidP="00D42E7A">
      <w:pPr>
        <w:autoSpaceDE w:val="0"/>
        <w:autoSpaceDN w:val="0"/>
        <w:adjustRightInd w:val="0"/>
        <w:spacing w:after="0" w:line="240" w:lineRule="auto"/>
        <w:ind w:right="-22"/>
        <w:jc w:val="both"/>
        <w:rPr>
          <w:color w:val="000000" w:themeColor="text1"/>
        </w:rPr>
      </w:pPr>
      <w:r>
        <w:rPr>
          <w:b/>
          <w:bCs/>
          <w:color w:val="000000" w:themeColor="text1"/>
        </w:rPr>
        <w:t>Figure 3:</w:t>
      </w:r>
      <w:r>
        <w:rPr>
          <w:color w:val="000000" w:themeColor="text1"/>
        </w:rPr>
        <w:t xml:space="preserve"> Most Cited Thinkers by </w:t>
      </w:r>
      <w:proofErr w:type="spellStart"/>
      <w:r>
        <w:rPr>
          <w:color w:val="000000" w:themeColor="text1"/>
        </w:rPr>
        <w:t>Decade</w:t>
      </w:r>
      <w:r w:rsidRPr="005604E9">
        <w:rPr>
          <w:color w:val="000000" w:themeColor="text1"/>
          <w:vertAlign w:val="superscript"/>
        </w:rPr>
        <w:t>a</w:t>
      </w:r>
      <w:proofErr w:type="spellEnd"/>
      <w:r>
        <w:rPr>
          <w:rStyle w:val="FootnoteReference"/>
          <w:color w:val="000000" w:themeColor="text1"/>
        </w:rPr>
        <w:footnoteReference w:id="62"/>
      </w:r>
    </w:p>
    <w:p w14:paraId="4CB450AB" w14:textId="77777777" w:rsidR="005604E9" w:rsidRPr="005604E9" w:rsidRDefault="005604E9" w:rsidP="00D42E7A">
      <w:pPr>
        <w:autoSpaceDE w:val="0"/>
        <w:autoSpaceDN w:val="0"/>
        <w:adjustRightInd w:val="0"/>
        <w:spacing w:after="0" w:line="240" w:lineRule="auto"/>
        <w:ind w:right="-22"/>
        <w:jc w:val="both"/>
        <w:rPr>
          <w:color w:val="000000" w:themeColor="text1"/>
        </w:rPr>
      </w:pPr>
    </w:p>
    <w:p w14:paraId="27D6FE77" w14:textId="02322FA9" w:rsidR="005604E9" w:rsidRDefault="005604E9" w:rsidP="005604E9">
      <w:pPr>
        <w:autoSpaceDE w:val="0"/>
        <w:autoSpaceDN w:val="0"/>
        <w:adjustRightInd w:val="0"/>
        <w:spacing w:after="0" w:line="240" w:lineRule="auto"/>
        <w:ind w:right="-22"/>
        <w:jc w:val="center"/>
        <w:rPr>
          <w:color w:val="000000" w:themeColor="text1"/>
        </w:rPr>
      </w:pPr>
      <w:r w:rsidRPr="005604E9">
        <w:rPr>
          <w:noProof/>
          <w:color w:val="000000" w:themeColor="text1"/>
        </w:rPr>
        <w:drawing>
          <wp:inline distT="0" distB="0" distL="0" distR="0" wp14:anchorId="42108762" wp14:editId="07C6A16A">
            <wp:extent cx="3208867" cy="185756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0934" cy="1870335"/>
                    </a:xfrm>
                    <a:prstGeom prst="rect">
                      <a:avLst/>
                    </a:prstGeom>
                    <a:noFill/>
                    <a:ln>
                      <a:noFill/>
                    </a:ln>
                  </pic:spPr>
                </pic:pic>
              </a:graphicData>
            </a:graphic>
          </wp:inline>
        </w:drawing>
      </w:r>
    </w:p>
    <w:p w14:paraId="45CDE43A" w14:textId="06B96941" w:rsidR="00D42E7A" w:rsidRDefault="00D42E7A" w:rsidP="00D42E7A">
      <w:pPr>
        <w:autoSpaceDE w:val="0"/>
        <w:autoSpaceDN w:val="0"/>
        <w:adjustRightInd w:val="0"/>
        <w:spacing w:after="0" w:line="240" w:lineRule="auto"/>
        <w:ind w:right="-22"/>
        <w:jc w:val="both"/>
        <w:rPr>
          <w:color w:val="000000" w:themeColor="text1"/>
        </w:rPr>
      </w:pPr>
    </w:p>
    <w:p w14:paraId="5C4F27A9" w14:textId="4E570EA3" w:rsidR="00154A80" w:rsidRDefault="00C6441B" w:rsidP="00D42E7A">
      <w:pPr>
        <w:autoSpaceDE w:val="0"/>
        <w:autoSpaceDN w:val="0"/>
        <w:adjustRightInd w:val="0"/>
        <w:spacing w:after="0" w:line="240" w:lineRule="auto"/>
        <w:ind w:right="-22"/>
        <w:jc w:val="both"/>
        <w:rPr>
          <w:color w:val="000000" w:themeColor="text1"/>
        </w:rPr>
      </w:pPr>
      <w:r>
        <w:rPr>
          <w:color w:val="000000" w:themeColor="text1"/>
        </w:rPr>
        <w:t xml:space="preserve">Of </w:t>
      </w:r>
      <w:proofErr w:type="gramStart"/>
      <w:r>
        <w:rPr>
          <w:color w:val="000000" w:themeColor="text1"/>
        </w:rPr>
        <w:t>particular relevance</w:t>
      </w:r>
      <w:proofErr w:type="gramEnd"/>
      <w:r>
        <w:rPr>
          <w:color w:val="000000" w:themeColor="text1"/>
        </w:rPr>
        <w:t xml:space="preserve"> to this paper are Lutz’s two tables showing the citations by </w:t>
      </w:r>
      <w:r w:rsidR="007051E3">
        <w:rPr>
          <w:color w:val="000000" w:themeColor="text1"/>
        </w:rPr>
        <w:t>t</w:t>
      </w:r>
      <w:r>
        <w:rPr>
          <w:color w:val="000000" w:themeColor="text1"/>
        </w:rPr>
        <w:t>he Federalists and Anti-Fed</w:t>
      </w:r>
      <w:r w:rsidR="00894BDF">
        <w:rPr>
          <w:color w:val="000000" w:themeColor="text1"/>
        </w:rPr>
        <w:t xml:space="preserve">eralists, </w:t>
      </w:r>
      <w:r w:rsidR="00EA39AB">
        <w:rPr>
          <w:color w:val="000000" w:themeColor="text1"/>
        </w:rPr>
        <w:t>reproduced</w:t>
      </w:r>
      <w:r w:rsidR="00894BDF">
        <w:rPr>
          <w:color w:val="000000" w:themeColor="text1"/>
        </w:rPr>
        <w:t xml:space="preserve"> in Figures 4 and 5 below.</w:t>
      </w:r>
      <w:r w:rsidR="00894BDF">
        <w:rPr>
          <w:rStyle w:val="FootnoteReference"/>
          <w:color w:val="000000" w:themeColor="text1"/>
        </w:rPr>
        <w:footnoteReference w:id="63"/>
      </w:r>
    </w:p>
    <w:p w14:paraId="27841119" w14:textId="77777777" w:rsidR="00154A80" w:rsidRDefault="00154A80" w:rsidP="00D42E7A">
      <w:pPr>
        <w:autoSpaceDE w:val="0"/>
        <w:autoSpaceDN w:val="0"/>
        <w:adjustRightInd w:val="0"/>
        <w:spacing w:after="0" w:line="240" w:lineRule="auto"/>
        <w:ind w:right="-22"/>
        <w:jc w:val="both"/>
        <w:rPr>
          <w:color w:val="000000" w:themeColor="text1"/>
        </w:rPr>
      </w:pPr>
    </w:p>
    <w:p w14:paraId="6B29FFCC" w14:textId="7C94E66F" w:rsidR="00D42E7A" w:rsidRDefault="001B4A6A" w:rsidP="00154A80">
      <w:pPr>
        <w:autoSpaceDE w:val="0"/>
        <w:autoSpaceDN w:val="0"/>
        <w:adjustRightInd w:val="0"/>
        <w:spacing w:after="0" w:line="240" w:lineRule="auto"/>
        <w:ind w:right="-22" w:firstLine="720"/>
        <w:jc w:val="both"/>
        <w:rPr>
          <w:color w:val="000000" w:themeColor="text1"/>
        </w:rPr>
      </w:pPr>
      <w:r>
        <w:rPr>
          <w:color w:val="000000" w:themeColor="text1"/>
        </w:rPr>
        <w:t xml:space="preserve">It is very noticeable that </w:t>
      </w:r>
      <w:r w:rsidR="00154A80">
        <w:rPr>
          <w:color w:val="000000" w:themeColor="text1"/>
        </w:rPr>
        <w:t>the Enlight</w:t>
      </w:r>
      <w:r w:rsidR="006555F3">
        <w:rPr>
          <w:color w:val="000000" w:themeColor="text1"/>
        </w:rPr>
        <w:t>en</w:t>
      </w:r>
      <w:r w:rsidR="00154A80">
        <w:rPr>
          <w:color w:val="000000" w:themeColor="text1"/>
        </w:rPr>
        <w:t xml:space="preserve">ment writers </w:t>
      </w:r>
      <w:r w:rsidR="006555F3">
        <w:rPr>
          <w:color w:val="000000" w:themeColor="text1"/>
        </w:rPr>
        <w:t>had enormous influence alike on both Federalists and Anti-Federalists, and this influence is discussed in the next section.</w:t>
      </w:r>
    </w:p>
    <w:p w14:paraId="3796AC23" w14:textId="7B666716" w:rsidR="001B4A6A" w:rsidRDefault="001B4A6A" w:rsidP="00D42E7A">
      <w:pPr>
        <w:autoSpaceDE w:val="0"/>
        <w:autoSpaceDN w:val="0"/>
        <w:adjustRightInd w:val="0"/>
        <w:spacing w:after="0" w:line="240" w:lineRule="auto"/>
        <w:ind w:right="-22"/>
        <w:jc w:val="both"/>
        <w:rPr>
          <w:color w:val="000000" w:themeColor="text1"/>
        </w:rPr>
      </w:pPr>
    </w:p>
    <w:p w14:paraId="228DBA45" w14:textId="7BD01994" w:rsidR="005C61A7" w:rsidRDefault="005C61A7" w:rsidP="00D42E7A">
      <w:pPr>
        <w:autoSpaceDE w:val="0"/>
        <w:autoSpaceDN w:val="0"/>
        <w:adjustRightInd w:val="0"/>
        <w:spacing w:after="0" w:line="240" w:lineRule="auto"/>
        <w:ind w:right="-22"/>
        <w:jc w:val="both"/>
        <w:rPr>
          <w:color w:val="000000" w:themeColor="text1"/>
        </w:rPr>
      </w:pPr>
    </w:p>
    <w:p w14:paraId="08D9AB37" w14:textId="462815B3" w:rsidR="00894BDF" w:rsidRDefault="00894BDF" w:rsidP="00D42E7A">
      <w:pPr>
        <w:autoSpaceDE w:val="0"/>
        <w:autoSpaceDN w:val="0"/>
        <w:adjustRightInd w:val="0"/>
        <w:spacing w:after="0" w:line="240" w:lineRule="auto"/>
        <w:ind w:right="-22"/>
        <w:jc w:val="both"/>
        <w:rPr>
          <w:color w:val="000000" w:themeColor="text1"/>
        </w:rPr>
      </w:pPr>
      <w:r w:rsidRPr="00894BDF">
        <w:rPr>
          <w:b/>
          <w:bCs/>
          <w:color w:val="000000" w:themeColor="text1"/>
        </w:rPr>
        <w:t>Figure 4:</w:t>
      </w:r>
      <w:r>
        <w:rPr>
          <w:color w:val="000000" w:themeColor="text1"/>
        </w:rPr>
        <w:t xml:space="preserve"> Federalist Versus Anti</w:t>
      </w:r>
      <w:r w:rsidR="00B2337F">
        <w:rPr>
          <w:color w:val="000000" w:themeColor="text1"/>
        </w:rPr>
        <w:t>-F</w:t>
      </w:r>
      <w:r>
        <w:rPr>
          <w:color w:val="000000" w:themeColor="text1"/>
        </w:rPr>
        <w:t>ederalist</w:t>
      </w:r>
    </w:p>
    <w:p w14:paraId="377AFC40" w14:textId="042BEDF5" w:rsidR="00894BDF" w:rsidRDefault="00894BDF" w:rsidP="00D42E7A">
      <w:pPr>
        <w:autoSpaceDE w:val="0"/>
        <w:autoSpaceDN w:val="0"/>
        <w:adjustRightInd w:val="0"/>
        <w:spacing w:after="0" w:line="240" w:lineRule="auto"/>
        <w:ind w:right="-22"/>
        <w:jc w:val="both"/>
        <w:rPr>
          <w:color w:val="000000" w:themeColor="text1"/>
        </w:rPr>
      </w:pPr>
    </w:p>
    <w:p w14:paraId="24548727" w14:textId="32DFCAE8" w:rsidR="00894BDF" w:rsidRDefault="00894BDF" w:rsidP="00894BDF">
      <w:pPr>
        <w:autoSpaceDE w:val="0"/>
        <w:autoSpaceDN w:val="0"/>
        <w:adjustRightInd w:val="0"/>
        <w:spacing w:after="0" w:line="240" w:lineRule="auto"/>
        <w:ind w:right="-22"/>
        <w:jc w:val="center"/>
        <w:rPr>
          <w:color w:val="000000" w:themeColor="text1"/>
        </w:rPr>
      </w:pPr>
      <w:r w:rsidRPr="00894BDF">
        <w:rPr>
          <w:noProof/>
          <w:color w:val="000000" w:themeColor="text1"/>
        </w:rPr>
        <w:drawing>
          <wp:inline distT="0" distB="0" distL="0" distR="0" wp14:anchorId="1CEB57F4" wp14:editId="2DA3AD4B">
            <wp:extent cx="4876800" cy="155584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340" cy="1573886"/>
                    </a:xfrm>
                    <a:prstGeom prst="rect">
                      <a:avLst/>
                    </a:prstGeom>
                    <a:noFill/>
                    <a:ln>
                      <a:noFill/>
                    </a:ln>
                  </pic:spPr>
                </pic:pic>
              </a:graphicData>
            </a:graphic>
          </wp:inline>
        </w:drawing>
      </w:r>
    </w:p>
    <w:p w14:paraId="0352D635" w14:textId="1BF058C4" w:rsidR="00A80D71" w:rsidRDefault="00A80D71" w:rsidP="00D42E7A">
      <w:pPr>
        <w:autoSpaceDE w:val="0"/>
        <w:autoSpaceDN w:val="0"/>
        <w:adjustRightInd w:val="0"/>
        <w:spacing w:after="0" w:line="240" w:lineRule="auto"/>
        <w:ind w:right="-22"/>
        <w:jc w:val="both"/>
        <w:rPr>
          <w:color w:val="000000" w:themeColor="text1"/>
        </w:rPr>
      </w:pPr>
    </w:p>
    <w:p w14:paraId="6E8A22CE" w14:textId="77777777" w:rsidR="00A80D71" w:rsidRDefault="00A80D71" w:rsidP="00D42E7A">
      <w:pPr>
        <w:autoSpaceDE w:val="0"/>
        <w:autoSpaceDN w:val="0"/>
        <w:adjustRightInd w:val="0"/>
        <w:spacing w:after="0" w:line="240" w:lineRule="auto"/>
        <w:ind w:right="-22"/>
        <w:jc w:val="both"/>
        <w:rPr>
          <w:color w:val="000000" w:themeColor="text1"/>
        </w:rPr>
      </w:pPr>
    </w:p>
    <w:p w14:paraId="59060380" w14:textId="5CC00F1A" w:rsidR="00B2337F" w:rsidRDefault="00B2337F" w:rsidP="00D42E7A">
      <w:pPr>
        <w:autoSpaceDE w:val="0"/>
        <w:autoSpaceDN w:val="0"/>
        <w:adjustRightInd w:val="0"/>
        <w:spacing w:after="0" w:line="240" w:lineRule="auto"/>
        <w:ind w:right="-22"/>
        <w:jc w:val="both"/>
        <w:rPr>
          <w:color w:val="000000" w:themeColor="text1"/>
        </w:rPr>
      </w:pPr>
      <w:r w:rsidRPr="00B2337F">
        <w:rPr>
          <w:b/>
          <w:bCs/>
          <w:color w:val="000000" w:themeColor="text1"/>
        </w:rPr>
        <w:t>Figure 5:</w:t>
      </w:r>
      <w:r>
        <w:rPr>
          <w:color w:val="000000" w:themeColor="text1"/>
        </w:rPr>
        <w:t xml:space="preserve"> Twenty Most Cited Thinkers: Federalist Versus Anti-Federalist</w:t>
      </w:r>
    </w:p>
    <w:p w14:paraId="75F78EAD" w14:textId="35298CCB" w:rsidR="00B2337F" w:rsidRDefault="00B2337F" w:rsidP="00D42E7A">
      <w:pPr>
        <w:autoSpaceDE w:val="0"/>
        <w:autoSpaceDN w:val="0"/>
        <w:adjustRightInd w:val="0"/>
        <w:spacing w:after="0" w:line="240" w:lineRule="auto"/>
        <w:ind w:right="-22"/>
        <w:jc w:val="both"/>
        <w:rPr>
          <w:color w:val="000000" w:themeColor="text1"/>
        </w:rPr>
      </w:pPr>
    </w:p>
    <w:p w14:paraId="160B0AA9" w14:textId="70137F1C" w:rsidR="00B2337F" w:rsidRDefault="00B2337F" w:rsidP="00B2337F">
      <w:pPr>
        <w:autoSpaceDE w:val="0"/>
        <w:autoSpaceDN w:val="0"/>
        <w:adjustRightInd w:val="0"/>
        <w:spacing w:after="0" w:line="240" w:lineRule="auto"/>
        <w:ind w:right="-22"/>
        <w:jc w:val="center"/>
        <w:rPr>
          <w:color w:val="000000" w:themeColor="text1"/>
        </w:rPr>
      </w:pPr>
      <w:r w:rsidRPr="00B2337F">
        <w:rPr>
          <w:noProof/>
          <w:color w:val="000000" w:themeColor="text1"/>
        </w:rPr>
        <w:drawing>
          <wp:inline distT="0" distB="0" distL="0" distR="0" wp14:anchorId="0FFA3F7D" wp14:editId="67053EC8">
            <wp:extent cx="3403600" cy="227591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5171" cy="2283651"/>
                    </a:xfrm>
                    <a:prstGeom prst="rect">
                      <a:avLst/>
                    </a:prstGeom>
                    <a:noFill/>
                    <a:ln>
                      <a:noFill/>
                    </a:ln>
                  </pic:spPr>
                </pic:pic>
              </a:graphicData>
            </a:graphic>
          </wp:inline>
        </w:drawing>
      </w:r>
    </w:p>
    <w:p w14:paraId="091D171C" w14:textId="3C0C357C" w:rsidR="00B2337F" w:rsidRDefault="00B2337F" w:rsidP="00D42E7A">
      <w:pPr>
        <w:autoSpaceDE w:val="0"/>
        <w:autoSpaceDN w:val="0"/>
        <w:adjustRightInd w:val="0"/>
        <w:spacing w:after="0" w:line="240" w:lineRule="auto"/>
        <w:ind w:right="-22"/>
        <w:jc w:val="both"/>
        <w:rPr>
          <w:color w:val="000000" w:themeColor="text1"/>
        </w:rPr>
      </w:pPr>
    </w:p>
    <w:p w14:paraId="3B6CA53F" w14:textId="520C3B80" w:rsidR="00B2337F" w:rsidRDefault="00B2337F" w:rsidP="00D42E7A">
      <w:pPr>
        <w:autoSpaceDE w:val="0"/>
        <w:autoSpaceDN w:val="0"/>
        <w:adjustRightInd w:val="0"/>
        <w:spacing w:after="0" w:line="240" w:lineRule="auto"/>
        <w:ind w:right="-22"/>
        <w:jc w:val="both"/>
        <w:rPr>
          <w:color w:val="000000" w:themeColor="text1"/>
        </w:rPr>
      </w:pPr>
    </w:p>
    <w:p w14:paraId="3A5380A1" w14:textId="0DA495CB" w:rsidR="00B2337F" w:rsidRDefault="006555F3" w:rsidP="006555F3">
      <w:pPr>
        <w:autoSpaceDE w:val="0"/>
        <w:autoSpaceDN w:val="0"/>
        <w:adjustRightInd w:val="0"/>
        <w:spacing w:after="0" w:line="240" w:lineRule="auto"/>
        <w:ind w:right="-22"/>
        <w:jc w:val="center"/>
        <w:rPr>
          <w:color w:val="000000" w:themeColor="text1"/>
        </w:rPr>
      </w:pPr>
      <w:r>
        <w:rPr>
          <w:color w:val="000000" w:themeColor="text1"/>
        </w:rPr>
        <w:t>THE</w:t>
      </w:r>
      <w:r w:rsidR="00DD581C">
        <w:rPr>
          <w:color w:val="000000" w:themeColor="text1"/>
        </w:rPr>
        <w:t xml:space="preserve">ORIES OF TAXATION – LOCKE, </w:t>
      </w:r>
      <w:proofErr w:type="gramStart"/>
      <w:r w:rsidR="00DD581C">
        <w:rPr>
          <w:color w:val="000000" w:themeColor="text1"/>
        </w:rPr>
        <w:t>MONTESQU</w:t>
      </w:r>
      <w:r w:rsidR="008C3960">
        <w:rPr>
          <w:color w:val="000000" w:themeColor="text1"/>
        </w:rPr>
        <w:t>IEU</w:t>
      </w:r>
      <w:proofErr w:type="gramEnd"/>
      <w:r w:rsidR="008C3960">
        <w:rPr>
          <w:color w:val="000000" w:themeColor="text1"/>
        </w:rPr>
        <w:t xml:space="preserve"> AND HUME</w:t>
      </w:r>
    </w:p>
    <w:p w14:paraId="677CC59F" w14:textId="38B66171" w:rsidR="00B2337F" w:rsidRDefault="00B2337F" w:rsidP="00D42E7A">
      <w:pPr>
        <w:autoSpaceDE w:val="0"/>
        <w:autoSpaceDN w:val="0"/>
        <w:adjustRightInd w:val="0"/>
        <w:spacing w:after="0" w:line="240" w:lineRule="auto"/>
        <w:ind w:right="-22"/>
        <w:jc w:val="both"/>
        <w:rPr>
          <w:color w:val="000000" w:themeColor="text1"/>
        </w:rPr>
      </w:pPr>
    </w:p>
    <w:p w14:paraId="47C50F7B" w14:textId="26BEBB96" w:rsidR="00B2337F" w:rsidRPr="00FF12A1" w:rsidRDefault="006555F3" w:rsidP="00D42E7A">
      <w:pPr>
        <w:autoSpaceDE w:val="0"/>
        <w:autoSpaceDN w:val="0"/>
        <w:adjustRightInd w:val="0"/>
        <w:spacing w:after="0" w:line="240" w:lineRule="auto"/>
        <w:ind w:right="-22"/>
        <w:jc w:val="both"/>
        <w:rPr>
          <w:color w:val="000000" w:themeColor="text1"/>
        </w:rPr>
      </w:pPr>
      <w:r>
        <w:rPr>
          <w:color w:val="000000" w:themeColor="text1"/>
        </w:rPr>
        <w:t>In Figure 5 above, three of the first four names are those supporting or opposing the idea of a social contract – Montesquieu</w:t>
      </w:r>
      <w:r w:rsidR="007E45A4">
        <w:rPr>
          <w:color w:val="000000" w:themeColor="text1"/>
        </w:rPr>
        <w:t xml:space="preserve"> (1689–1755)</w:t>
      </w:r>
      <w:r>
        <w:rPr>
          <w:color w:val="000000" w:themeColor="text1"/>
        </w:rPr>
        <w:t xml:space="preserve">, Locke </w:t>
      </w:r>
      <w:r w:rsidR="007E45A4">
        <w:rPr>
          <w:color w:val="000000" w:themeColor="text1"/>
        </w:rPr>
        <w:t xml:space="preserve">(1632–1704) </w:t>
      </w:r>
      <w:r>
        <w:rPr>
          <w:color w:val="000000" w:themeColor="text1"/>
        </w:rPr>
        <w:t>and Hume</w:t>
      </w:r>
      <w:r w:rsidR="007E45A4">
        <w:rPr>
          <w:color w:val="000000" w:themeColor="text1"/>
        </w:rPr>
        <w:t xml:space="preserve"> (1711–76)</w:t>
      </w:r>
      <w:r w:rsidR="0092253C">
        <w:rPr>
          <w:color w:val="000000" w:themeColor="text1"/>
        </w:rPr>
        <w:t xml:space="preserve">. </w:t>
      </w:r>
      <w:r w:rsidR="007E45A4">
        <w:rPr>
          <w:color w:val="000000" w:themeColor="text1"/>
        </w:rPr>
        <w:t xml:space="preserve">William </w:t>
      </w:r>
      <w:r w:rsidR="0092253C">
        <w:rPr>
          <w:color w:val="000000" w:themeColor="text1"/>
        </w:rPr>
        <w:t>Blackstone</w:t>
      </w:r>
      <w:r w:rsidR="007E45A4">
        <w:rPr>
          <w:color w:val="000000" w:themeColor="text1"/>
        </w:rPr>
        <w:t xml:space="preserve"> (1723–80)</w:t>
      </w:r>
      <w:r w:rsidR="0092253C">
        <w:rPr>
          <w:color w:val="000000" w:themeColor="text1"/>
        </w:rPr>
        <w:t xml:space="preserve">, on the other hand, was renowned as a legal theorist, and for </w:t>
      </w:r>
      <w:r w:rsidR="00A17CC7">
        <w:rPr>
          <w:color w:val="000000" w:themeColor="text1"/>
        </w:rPr>
        <w:t xml:space="preserve">his </w:t>
      </w:r>
      <w:r w:rsidR="00A17CC7" w:rsidRPr="00A17CC7">
        <w:rPr>
          <w:i/>
          <w:iCs/>
          <w:color w:val="000000" w:themeColor="text1"/>
        </w:rPr>
        <w:t>Commentaries on</w:t>
      </w:r>
      <w:r w:rsidR="0092253C" w:rsidRPr="00A17CC7">
        <w:rPr>
          <w:i/>
          <w:iCs/>
          <w:color w:val="000000" w:themeColor="text1"/>
        </w:rPr>
        <w:t xml:space="preserve"> the </w:t>
      </w:r>
      <w:r w:rsidR="00A17CC7" w:rsidRPr="00A17CC7">
        <w:rPr>
          <w:i/>
          <w:iCs/>
          <w:color w:val="000000" w:themeColor="text1"/>
        </w:rPr>
        <w:t>L</w:t>
      </w:r>
      <w:r w:rsidR="0092253C" w:rsidRPr="00A17CC7">
        <w:rPr>
          <w:i/>
          <w:iCs/>
          <w:color w:val="000000" w:themeColor="text1"/>
        </w:rPr>
        <w:t>aws of England</w:t>
      </w:r>
      <w:r w:rsidR="0092253C">
        <w:rPr>
          <w:color w:val="000000" w:themeColor="text1"/>
        </w:rPr>
        <w:t>.</w:t>
      </w:r>
      <w:r w:rsidR="0092253C">
        <w:rPr>
          <w:rStyle w:val="FootnoteReference"/>
          <w:color w:val="000000" w:themeColor="text1"/>
        </w:rPr>
        <w:footnoteReference w:id="64"/>
      </w:r>
      <w:r w:rsidR="00A17CC7">
        <w:rPr>
          <w:color w:val="000000" w:themeColor="text1"/>
        </w:rPr>
        <w:t xml:space="preserve"> </w:t>
      </w:r>
      <w:r w:rsidR="00A17CC7" w:rsidRPr="00A17CC7">
        <w:rPr>
          <w:color w:val="202122"/>
          <w:shd w:val="clear" w:color="auto" w:fill="FFFFFF"/>
        </w:rPr>
        <w:t xml:space="preserve">The </w:t>
      </w:r>
      <w:r w:rsidR="00A17CC7">
        <w:rPr>
          <w:color w:val="202122"/>
          <w:shd w:val="clear" w:color="auto" w:fill="FFFFFF"/>
        </w:rPr>
        <w:t>four volumes of this latter work addressed</w:t>
      </w:r>
      <w:r w:rsidR="00A17CC7" w:rsidRPr="00A17CC7">
        <w:rPr>
          <w:color w:val="202122"/>
          <w:shd w:val="clear" w:color="auto" w:fill="FFFFFF"/>
        </w:rPr>
        <w:t xml:space="preserve"> the rights of persons, the rights of things, private </w:t>
      </w:r>
      <w:proofErr w:type="gramStart"/>
      <w:r w:rsidR="00A17CC7" w:rsidRPr="00A17CC7">
        <w:rPr>
          <w:color w:val="202122"/>
          <w:shd w:val="clear" w:color="auto" w:fill="FFFFFF"/>
        </w:rPr>
        <w:t>wrongs</w:t>
      </w:r>
      <w:proofErr w:type="gramEnd"/>
      <w:r w:rsidR="00A17CC7" w:rsidRPr="00A17CC7">
        <w:rPr>
          <w:color w:val="202122"/>
          <w:shd w:val="clear" w:color="auto" w:fill="FFFFFF"/>
        </w:rPr>
        <w:t xml:space="preserve"> and public wrong</w:t>
      </w:r>
      <w:r w:rsidR="00A17CC7">
        <w:rPr>
          <w:color w:val="202122"/>
          <w:shd w:val="clear" w:color="auto" w:fill="FFFFFF"/>
        </w:rPr>
        <w:t>s.</w:t>
      </w:r>
      <w:r w:rsidR="00FF12A1">
        <w:rPr>
          <w:color w:val="202122"/>
          <w:shd w:val="clear" w:color="auto" w:fill="FFFFFF"/>
        </w:rPr>
        <w:t xml:space="preserve"> The work was hugely influential, </w:t>
      </w:r>
      <w:r w:rsidR="00AE530B">
        <w:rPr>
          <w:color w:val="202122"/>
          <w:shd w:val="clear" w:color="auto" w:fill="FFFFFF"/>
        </w:rPr>
        <w:t xml:space="preserve">and made the common law accessible to a lay reader, </w:t>
      </w:r>
      <w:r w:rsidR="00FF12A1">
        <w:rPr>
          <w:color w:val="202122"/>
          <w:shd w:val="clear" w:color="auto" w:fill="FFFFFF"/>
        </w:rPr>
        <w:t>with Holdsworth saying</w:t>
      </w:r>
      <w:r w:rsidR="00DA0CBA">
        <w:rPr>
          <w:color w:val="202122"/>
          <w:shd w:val="clear" w:color="auto" w:fill="FFFFFF"/>
        </w:rPr>
        <w:t xml:space="preserve"> that</w:t>
      </w:r>
      <w:r w:rsidR="00FF12A1" w:rsidRPr="00FF12A1">
        <w:rPr>
          <w:color w:val="202122"/>
          <w:shd w:val="clear" w:color="auto" w:fill="FFFFFF"/>
        </w:rPr>
        <w:t xml:space="preserve"> </w:t>
      </w:r>
      <w:r w:rsidR="00FF12A1">
        <w:rPr>
          <w:color w:val="202122"/>
          <w:shd w:val="clear" w:color="auto" w:fill="FFFFFF"/>
        </w:rPr>
        <w:t>‘</w:t>
      </w:r>
      <w:r w:rsidR="00DA0CBA">
        <w:rPr>
          <w:color w:val="202122"/>
          <w:shd w:val="clear" w:color="auto" w:fill="FFFFFF"/>
        </w:rPr>
        <w:t>[i]</w:t>
      </w:r>
      <w:r w:rsidR="00FF12A1" w:rsidRPr="00FF12A1">
        <w:rPr>
          <w:color w:val="202122"/>
          <w:shd w:val="clear" w:color="auto" w:fill="FFFFFF"/>
        </w:rPr>
        <w:t>f the Commentaries had not been written when they were written, I think it very doubtful that</w:t>
      </w:r>
      <w:r w:rsidR="00FF12A1">
        <w:rPr>
          <w:color w:val="202122"/>
          <w:shd w:val="clear" w:color="auto" w:fill="FFFFFF"/>
        </w:rPr>
        <w:t xml:space="preserve"> the United States</w:t>
      </w:r>
      <w:r w:rsidR="00FF12A1" w:rsidRPr="00FF12A1">
        <w:rPr>
          <w:color w:val="202122"/>
          <w:shd w:val="clear" w:color="auto" w:fill="FFFFFF"/>
        </w:rPr>
        <w:t xml:space="preserve">, and other English speaking countries would have so universally adopted </w:t>
      </w:r>
      <w:r w:rsidR="002120E7">
        <w:rPr>
          <w:color w:val="202122"/>
          <w:shd w:val="clear" w:color="auto" w:fill="FFFFFF"/>
        </w:rPr>
        <w:t>our</w:t>
      </w:r>
      <w:r w:rsidR="00FF12A1">
        <w:rPr>
          <w:color w:val="202122"/>
          <w:shd w:val="clear" w:color="auto" w:fill="FFFFFF"/>
        </w:rPr>
        <w:t xml:space="preserve"> </w:t>
      </w:r>
      <w:r w:rsidR="00A87EA4">
        <w:rPr>
          <w:color w:val="202122"/>
          <w:shd w:val="clear" w:color="auto" w:fill="FFFFFF"/>
        </w:rPr>
        <w:t xml:space="preserve">[English] </w:t>
      </w:r>
      <w:r w:rsidR="00FF12A1">
        <w:rPr>
          <w:color w:val="202122"/>
          <w:shd w:val="clear" w:color="auto" w:fill="FFFFFF"/>
        </w:rPr>
        <w:t>common law’.</w:t>
      </w:r>
      <w:r w:rsidR="00FF12A1">
        <w:rPr>
          <w:rStyle w:val="FootnoteReference"/>
          <w:color w:val="202122"/>
          <w:shd w:val="clear" w:color="auto" w:fill="FFFFFF"/>
        </w:rPr>
        <w:footnoteReference w:id="65"/>
      </w:r>
      <w:r w:rsidR="00AE530B">
        <w:rPr>
          <w:color w:val="202122"/>
          <w:shd w:val="clear" w:color="auto" w:fill="FFFFFF"/>
        </w:rPr>
        <w:t xml:space="preserve"> It is hard to over-estimate the influence of the </w:t>
      </w:r>
      <w:r w:rsidR="00AE530B" w:rsidRPr="00AE530B">
        <w:rPr>
          <w:i/>
          <w:iCs/>
          <w:color w:val="202122"/>
          <w:shd w:val="clear" w:color="auto" w:fill="FFFFFF"/>
        </w:rPr>
        <w:t>Commentaries</w:t>
      </w:r>
      <w:r w:rsidR="00AE530B">
        <w:rPr>
          <w:color w:val="202122"/>
          <w:shd w:val="clear" w:color="auto" w:fill="FFFFFF"/>
        </w:rPr>
        <w:t xml:space="preserve"> on affairs in the Americas. To this day, they are still cited in US Supreme Court decisions.</w:t>
      </w:r>
    </w:p>
    <w:p w14:paraId="213072E6" w14:textId="77777777" w:rsidR="00B2337F" w:rsidRDefault="00B2337F" w:rsidP="00D42E7A">
      <w:pPr>
        <w:autoSpaceDE w:val="0"/>
        <w:autoSpaceDN w:val="0"/>
        <w:adjustRightInd w:val="0"/>
        <w:spacing w:after="0" w:line="240" w:lineRule="auto"/>
        <w:ind w:right="-22"/>
        <w:jc w:val="both"/>
        <w:rPr>
          <w:color w:val="000000" w:themeColor="text1"/>
        </w:rPr>
      </w:pPr>
    </w:p>
    <w:p w14:paraId="109F7A10" w14:textId="758A01C1" w:rsidR="00455472" w:rsidRDefault="007E45A4" w:rsidP="007E45A4">
      <w:pPr>
        <w:autoSpaceDE w:val="0"/>
        <w:autoSpaceDN w:val="0"/>
        <w:adjustRightInd w:val="0"/>
        <w:spacing w:after="0" w:line="240" w:lineRule="auto"/>
        <w:ind w:right="-22" w:firstLine="720"/>
        <w:jc w:val="both"/>
        <w:rPr>
          <w:color w:val="000000" w:themeColor="text1"/>
        </w:rPr>
      </w:pPr>
      <w:r>
        <w:rPr>
          <w:color w:val="000000" w:themeColor="text1"/>
        </w:rPr>
        <w:t xml:space="preserve">Blackstone’s writings were nearly contemporaneous with the ‘founding era’, but </w:t>
      </w:r>
      <w:r w:rsidR="00267C86">
        <w:rPr>
          <w:color w:val="000000" w:themeColor="text1"/>
        </w:rPr>
        <w:t xml:space="preserve">Locke, Montesquieu and to a great extent, Hume, had written well before the </w:t>
      </w:r>
      <w:r w:rsidR="00A87EA4">
        <w:rPr>
          <w:color w:val="000000" w:themeColor="text1"/>
        </w:rPr>
        <w:t>War. Their ideas were well known, as Lutz’s work makes clear. The relationship between a government and its citizens lies at the heart of the social contract they either opposed or supported. A key element of this is taxation, so their ideas on this topic are of great relevance.</w:t>
      </w:r>
      <w:r w:rsidR="003C4A15">
        <w:rPr>
          <w:color w:val="000000" w:themeColor="text1"/>
        </w:rPr>
        <w:t xml:space="preserve"> A</w:t>
      </w:r>
      <w:r w:rsidR="00264DAE">
        <w:rPr>
          <w:color w:val="000000" w:themeColor="text1"/>
        </w:rPr>
        <w:t>n</w:t>
      </w:r>
      <w:r w:rsidR="003C4A15">
        <w:rPr>
          <w:color w:val="000000" w:themeColor="text1"/>
        </w:rPr>
        <w:t xml:space="preserve"> observation </w:t>
      </w:r>
      <w:r w:rsidR="00264DAE">
        <w:rPr>
          <w:color w:val="000000" w:themeColor="text1"/>
        </w:rPr>
        <w:t xml:space="preserve">often made </w:t>
      </w:r>
      <w:r w:rsidR="003C4A15">
        <w:rPr>
          <w:color w:val="000000" w:themeColor="text1"/>
        </w:rPr>
        <w:t>about any form of social contract is that it was tacit and did not exist in any written format. Arguably, the American Constitution was an attempt to put into written form a version of the social contract, to define the rights of government and those governed.</w:t>
      </w:r>
      <w:r w:rsidR="002877B6">
        <w:rPr>
          <w:color w:val="000000" w:themeColor="text1"/>
        </w:rPr>
        <w:t xml:space="preserve"> </w:t>
      </w:r>
      <w:r w:rsidR="00264DAE">
        <w:rPr>
          <w:color w:val="000000" w:themeColor="text1"/>
        </w:rPr>
        <w:t>However, Pollock</w:t>
      </w:r>
      <w:r w:rsidR="00264DAE">
        <w:rPr>
          <w:rStyle w:val="FootnoteReference"/>
          <w:color w:val="000000" w:themeColor="text1"/>
        </w:rPr>
        <w:footnoteReference w:id="66"/>
      </w:r>
      <w:r w:rsidR="00264DAE">
        <w:rPr>
          <w:color w:val="000000" w:themeColor="text1"/>
        </w:rPr>
        <w:t xml:space="preserve"> notes that there is some </w:t>
      </w:r>
      <w:r w:rsidR="00347088">
        <w:rPr>
          <w:color w:val="000000" w:themeColor="text1"/>
        </w:rPr>
        <w:t xml:space="preserve">historical </w:t>
      </w:r>
      <w:r w:rsidR="00264DAE">
        <w:rPr>
          <w:color w:val="000000" w:themeColor="text1"/>
        </w:rPr>
        <w:t xml:space="preserve">evidence of written agreements, citing </w:t>
      </w:r>
      <w:r w:rsidR="00264DAE" w:rsidRPr="00EA39AB">
        <w:rPr>
          <w:i/>
          <w:iCs/>
          <w:color w:val="000000" w:themeColor="text1"/>
        </w:rPr>
        <w:t>Magna Carta</w:t>
      </w:r>
      <w:r w:rsidR="00264DAE">
        <w:rPr>
          <w:color w:val="000000" w:themeColor="text1"/>
        </w:rPr>
        <w:t xml:space="preserve"> as one such instance, and </w:t>
      </w:r>
      <w:r w:rsidR="00EA39AB">
        <w:rPr>
          <w:color w:val="000000" w:themeColor="text1"/>
        </w:rPr>
        <w:t>as another</w:t>
      </w:r>
      <w:r w:rsidR="00347088">
        <w:rPr>
          <w:color w:val="000000" w:themeColor="text1"/>
        </w:rPr>
        <w:t>,</w:t>
      </w:r>
      <w:r w:rsidR="00EA39AB">
        <w:rPr>
          <w:color w:val="000000" w:themeColor="text1"/>
        </w:rPr>
        <w:t xml:space="preserve"> </w:t>
      </w:r>
      <w:r w:rsidR="00264DAE">
        <w:rPr>
          <w:color w:val="000000" w:themeColor="text1"/>
        </w:rPr>
        <w:t>the formal covenant made by the Pilgrim Fathers for a body politic</w:t>
      </w:r>
      <w:r w:rsidR="00BF78B5">
        <w:rPr>
          <w:color w:val="000000" w:themeColor="text1"/>
        </w:rPr>
        <w:t>.</w:t>
      </w:r>
      <w:r w:rsidR="00264DAE">
        <w:rPr>
          <w:color w:val="000000" w:themeColor="text1"/>
        </w:rPr>
        <w:t xml:space="preserve"> </w:t>
      </w:r>
      <w:r w:rsidR="00BF78B5">
        <w:rPr>
          <w:color w:val="000000" w:themeColor="text1"/>
        </w:rPr>
        <w:t>Nonetheless, a</w:t>
      </w:r>
      <w:r w:rsidR="002877B6">
        <w:rPr>
          <w:color w:val="000000" w:themeColor="text1"/>
        </w:rPr>
        <w:t xml:space="preserve">s </w:t>
      </w:r>
      <w:r w:rsidR="00455472">
        <w:rPr>
          <w:color w:val="000000" w:themeColor="text1"/>
        </w:rPr>
        <w:t>Gribnau and Frecknall-Hughes</w:t>
      </w:r>
      <w:r w:rsidR="00B91CD4">
        <w:rPr>
          <w:rStyle w:val="FootnoteReference"/>
          <w:color w:val="000000" w:themeColor="text1"/>
        </w:rPr>
        <w:footnoteReference w:id="67"/>
      </w:r>
      <w:r w:rsidR="002877B6">
        <w:rPr>
          <w:color w:val="000000" w:themeColor="text1"/>
        </w:rPr>
        <w:t xml:space="preserve"> </w:t>
      </w:r>
      <w:r w:rsidR="00BF78B5">
        <w:rPr>
          <w:color w:val="000000" w:themeColor="text1"/>
        </w:rPr>
        <w:t>comment</w:t>
      </w:r>
      <w:r w:rsidR="002877B6">
        <w:rPr>
          <w:color w:val="000000" w:themeColor="text1"/>
        </w:rPr>
        <w:t>, it is perhaps not understood today how radical the idea of a written document was at the time the US Constitution was first drafted. Then the predominant form of government worldwide was monarchy, often absolute.</w:t>
      </w:r>
    </w:p>
    <w:p w14:paraId="18BC0B87" w14:textId="5C6EBEB3" w:rsidR="00B2337F" w:rsidRDefault="00B2337F" w:rsidP="00D42E7A">
      <w:pPr>
        <w:autoSpaceDE w:val="0"/>
        <w:autoSpaceDN w:val="0"/>
        <w:adjustRightInd w:val="0"/>
        <w:spacing w:after="0" w:line="240" w:lineRule="auto"/>
        <w:ind w:right="-22"/>
        <w:jc w:val="both"/>
        <w:rPr>
          <w:color w:val="000000" w:themeColor="text1"/>
        </w:rPr>
      </w:pPr>
    </w:p>
    <w:p w14:paraId="1F96CD18" w14:textId="7E2DB8A8" w:rsidR="003B77A6" w:rsidRDefault="003B77A6" w:rsidP="003B77A6">
      <w:pPr>
        <w:autoSpaceDE w:val="0"/>
        <w:autoSpaceDN w:val="0"/>
        <w:adjustRightInd w:val="0"/>
        <w:spacing w:after="0" w:line="240" w:lineRule="auto"/>
        <w:ind w:right="-22" w:firstLine="720"/>
        <w:jc w:val="both"/>
        <w:rPr>
          <w:color w:val="000000" w:themeColor="text1"/>
        </w:rPr>
      </w:pPr>
      <w:r>
        <w:rPr>
          <w:color w:val="000000" w:themeColor="text1"/>
        </w:rPr>
        <w:t>In this context, the wider significance of Locke’s work must be appreciated.</w:t>
      </w:r>
      <w:r w:rsidR="00E25C6D">
        <w:rPr>
          <w:color w:val="000000" w:themeColor="text1"/>
        </w:rPr>
        <w:t xml:space="preserve"> He wrote after experiencing the English Civil War (including the execution of Charles I), the restoration of the monarchy, the ‘Glorious Revolution’, which saw the removal of another monarch (James II) and the establishment of a Bill of Rights. He was accustomed to see the sweeping away of long-established institutions (</w:t>
      </w:r>
      <w:r w:rsidR="00292683">
        <w:rPr>
          <w:color w:val="000000" w:themeColor="text1"/>
        </w:rPr>
        <w:t xml:space="preserve">the </w:t>
      </w:r>
      <w:r w:rsidR="00E25C6D">
        <w:rPr>
          <w:color w:val="000000" w:themeColor="text1"/>
        </w:rPr>
        <w:t>monarchy</w:t>
      </w:r>
      <w:r w:rsidR="00292683">
        <w:rPr>
          <w:color w:val="000000" w:themeColor="text1"/>
        </w:rPr>
        <w:t>, albeit restored</w:t>
      </w:r>
      <w:r w:rsidR="00E25C6D">
        <w:rPr>
          <w:color w:val="000000" w:themeColor="text1"/>
        </w:rPr>
        <w:t>,</w:t>
      </w:r>
      <w:r w:rsidR="00292683">
        <w:rPr>
          <w:color w:val="000000" w:themeColor="text1"/>
        </w:rPr>
        <w:t xml:space="preserve"> the House of Lords, the Anglican </w:t>
      </w:r>
      <w:proofErr w:type="gramStart"/>
      <w:r w:rsidR="00292683">
        <w:rPr>
          <w:color w:val="000000" w:themeColor="text1"/>
        </w:rPr>
        <w:t>Church</w:t>
      </w:r>
      <w:proofErr w:type="gramEnd"/>
      <w:r w:rsidR="00292683">
        <w:rPr>
          <w:color w:val="000000" w:themeColor="text1"/>
        </w:rPr>
        <w:t xml:space="preserve"> and the Cromwellian Protectorate</w:t>
      </w:r>
      <w:r w:rsidR="00320F16">
        <w:rPr>
          <w:color w:val="000000" w:themeColor="text1"/>
        </w:rPr>
        <w:t>)</w:t>
      </w:r>
      <w:r w:rsidR="00292683">
        <w:rPr>
          <w:color w:val="000000" w:themeColor="text1"/>
        </w:rPr>
        <w:t>. As Snape and Frecknall-Hughes</w:t>
      </w:r>
      <w:r w:rsidR="00292683">
        <w:rPr>
          <w:rStyle w:val="FootnoteReference"/>
          <w:color w:val="000000" w:themeColor="text1"/>
        </w:rPr>
        <w:footnoteReference w:id="68"/>
      </w:r>
      <w:r w:rsidR="00292683">
        <w:rPr>
          <w:color w:val="000000" w:themeColor="text1"/>
        </w:rPr>
        <w:t xml:space="preserve"> comment:</w:t>
      </w:r>
    </w:p>
    <w:p w14:paraId="2542F051" w14:textId="140A22DA" w:rsidR="00292683" w:rsidRDefault="00292683" w:rsidP="00292683">
      <w:pPr>
        <w:autoSpaceDE w:val="0"/>
        <w:autoSpaceDN w:val="0"/>
        <w:adjustRightInd w:val="0"/>
        <w:spacing w:after="0" w:line="240" w:lineRule="auto"/>
        <w:ind w:right="-22"/>
        <w:jc w:val="both"/>
        <w:rPr>
          <w:color w:val="000000" w:themeColor="text1"/>
        </w:rPr>
      </w:pPr>
    </w:p>
    <w:p w14:paraId="63E7CD59" w14:textId="5AE7B21D" w:rsidR="00292683" w:rsidRDefault="00292683" w:rsidP="00292683">
      <w:pPr>
        <w:autoSpaceDE w:val="0"/>
        <w:autoSpaceDN w:val="0"/>
        <w:adjustRightInd w:val="0"/>
        <w:spacing w:after="0" w:line="240" w:lineRule="auto"/>
        <w:ind w:left="720" w:right="662"/>
        <w:jc w:val="both"/>
        <w:rPr>
          <w:color w:val="000000" w:themeColor="text1"/>
        </w:rPr>
      </w:pPr>
      <w:r w:rsidRPr="00292683">
        <w:t xml:space="preserve">The idea of ‘starting from first principles’ permeated much of his writing. For example, in </w:t>
      </w:r>
      <w:r w:rsidRPr="00292683">
        <w:rPr>
          <w:i/>
          <w:iCs/>
        </w:rPr>
        <w:t>An Essay Concerning</w:t>
      </w:r>
      <w:r>
        <w:rPr>
          <w:i/>
          <w:iCs/>
        </w:rPr>
        <w:t xml:space="preserve"> </w:t>
      </w:r>
      <w:r w:rsidRPr="00292683">
        <w:rPr>
          <w:i/>
          <w:iCs/>
        </w:rPr>
        <w:t>Human Understanding</w:t>
      </w:r>
      <w:r w:rsidRPr="00292683">
        <w:t>,</w:t>
      </w:r>
      <w:r w:rsidR="008C7EFE">
        <w:rPr>
          <w:rStyle w:val="FootnoteReference"/>
        </w:rPr>
        <w:footnoteReference w:id="69"/>
      </w:r>
      <w:r w:rsidRPr="00292683">
        <w:t xml:space="preserve"> he saw himself as ‘clearing the ground a </w:t>
      </w:r>
      <w:proofErr w:type="gramStart"/>
      <w:r w:rsidRPr="00292683">
        <w:t>little, and</w:t>
      </w:r>
      <w:proofErr w:type="gramEnd"/>
      <w:r>
        <w:t xml:space="preserve"> </w:t>
      </w:r>
      <w:r w:rsidRPr="00292683">
        <w:t>removing some of the rubbish that lies in the way to knowledge’. Likewise</w:t>
      </w:r>
      <w:r>
        <w:t xml:space="preserve"> </w:t>
      </w:r>
      <w:r w:rsidRPr="00292683">
        <w:t xml:space="preserve">in the </w:t>
      </w:r>
      <w:r w:rsidRPr="00292683">
        <w:rPr>
          <w:i/>
          <w:iCs/>
        </w:rPr>
        <w:t>Essay</w:t>
      </w:r>
      <w:r w:rsidRPr="00292683">
        <w:t>, throughout Book 1, he uses the image of a ‘tabula rasa’, or</w:t>
      </w:r>
      <w:r>
        <w:t xml:space="preserve"> </w:t>
      </w:r>
      <w:r w:rsidRPr="00292683">
        <w:t>blank slate, to describe the state of a man’s mind, before experience writes</w:t>
      </w:r>
      <w:r>
        <w:t xml:space="preserve"> </w:t>
      </w:r>
      <w:r w:rsidRPr="00292683">
        <w:t xml:space="preserve">upon it. In his </w:t>
      </w:r>
      <w:r w:rsidRPr="00292683">
        <w:rPr>
          <w:i/>
          <w:iCs/>
        </w:rPr>
        <w:t>Second Treatise of Government</w:t>
      </w:r>
      <w:r w:rsidRPr="00292683">
        <w:t>,</w:t>
      </w:r>
      <w:r w:rsidR="004D6759">
        <w:rPr>
          <w:rStyle w:val="FootnoteReference"/>
        </w:rPr>
        <w:footnoteReference w:id="70"/>
      </w:r>
      <w:r w:rsidRPr="00292683">
        <w:t xml:space="preserve"> in defining political power,</w:t>
      </w:r>
      <w:r>
        <w:t xml:space="preserve"> </w:t>
      </w:r>
      <w:r w:rsidRPr="00292683">
        <w:t>which is ‘for the regulating and preserving of property’, he aims to ‘derive</w:t>
      </w:r>
      <w:r>
        <w:t xml:space="preserve"> </w:t>
      </w:r>
      <w:r w:rsidRPr="00292683">
        <w:t>it from its original’</w:t>
      </w:r>
      <w:r>
        <w:t>.</w:t>
      </w:r>
    </w:p>
    <w:p w14:paraId="6259B1BE" w14:textId="015FF5B0" w:rsidR="00292683" w:rsidRDefault="00292683" w:rsidP="00292683">
      <w:pPr>
        <w:autoSpaceDE w:val="0"/>
        <w:autoSpaceDN w:val="0"/>
        <w:adjustRightInd w:val="0"/>
        <w:spacing w:after="0" w:line="240" w:lineRule="auto"/>
        <w:ind w:right="-22"/>
        <w:jc w:val="both"/>
        <w:rPr>
          <w:color w:val="000000" w:themeColor="text1"/>
        </w:rPr>
      </w:pPr>
    </w:p>
    <w:p w14:paraId="0228C7F9" w14:textId="4C6B5954" w:rsidR="00292683" w:rsidRDefault="004D6759" w:rsidP="00292683">
      <w:pPr>
        <w:autoSpaceDE w:val="0"/>
        <w:autoSpaceDN w:val="0"/>
        <w:adjustRightInd w:val="0"/>
        <w:spacing w:after="0" w:line="240" w:lineRule="auto"/>
        <w:ind w:right="-22"/>
        <w:jc w:val="both"/>
        <w:rPr>
          <w:color w:val="000000" w:themeColor="text1"/>
        </w:rPr>
      </w:pPr>
      <w:r>
        <w:rPr>
          <w:color w:val="000000" w:themeColor="text1"/>
        </w:rPr>
        <w:t>A ‘tabula rasa’, however,</w:t>
      </w:r>
      <w:r w:rsidR="002B1968">
        <w:rPr>
          <w:color w:val="000000" w:themeColor="text1"/>
        </w:rPr>
        <w:t xml:space="preserve"> really means a slate that is blank because it has been ‘scraped clean’ (the meaning of ‘rasa’) of what had been written on it previously.</w:t>
      </w:r>
      <w:r w:rsidR="002B1968">
        <w:rPr>
          <w:rStyle w:val="FootnoteReference"/>
          <w:color w:val="000000" w:themeColor="text1"/>
        </w:rPr>
        <w:footnoteReference w:id="71"/>
      </w:r>
      <w:r>
        <w:rPr>
          <w:color w:val="000000" w:themeColor="text1"/>
        </w:rPr>
        <w:t xml:space="preserve"> </w:t>
      </w:r>
      <w:r w:rsidR="00CA2DF9">
        <w:rPr>
          <w:color w:val="000000" w:themeColor="text1"/>
        </w:rPr>
        <w:t>(</w:t>
      </w:r>
      <w:r>
        <w:rPr>
          <w:color w:val="000000" w:themeColor="text1"/>
        </w:rPr>
        <w:t>This approach was supported by Locke’s friendship with the scientist, Robert Boyle, and the latter’s scientific method of starting from first principles.</w:t>
      </w:r>
      <w:r w:rsidR="00CA2DF9">
        <w:rPr>
          <w:color w:val="000000" w:themeColor="text1"/>
        </w:rPr>
        <w:t>)</w:t>
      </w:r>
      <w:r w:rsidR="002B1968">
        <w:rPr>
          <w:color w:val="000000" w:themeColor="text1"/>
        </w:rPr>
        <w:t xml:space="preserve"> </w:t>
      </w:r>
      <w:r w:rsidR="00CA2DF9">
        <w:rPr>
          <w:color w:val="000000" w:themeColor="text1"/>
        </w:rPr>
        <w:t xml:space="preserve">Is this not </w:t>
      </w:r>
      <w:proofErr w:type="gramStart"/>
      <w:r w:rsidR="0035609C">
        <w:rPr>
          <w:color w:val="000000" w:themeColor="text1"/>
        </w:rPr>
        <w:t>similar to</w:t>
      </w:r>
      <w:proofErr w:type="gramEnd"/>
      <w:r w:rsidR="00CA2DF9">
        <w:rPr>
          <w:color w:val="000000" w:themeColor="text1"/>
        </w:rPr>
        <w:t xml:space="preserve"> the situation in which the American states found themselves after the end of the War of Independence?</w:t>
      </w:r>
      <w:r w:rsidR="0035609C">
        <w:rPr>
          <w:color w:val="000000" w:themeColor="text1"/>
        </w:rPr>
        <w:t xml:space="preserve"> They had thrown off the rule of Great Britain, and were starting national government ‘from scratch’, but had legacy systems of state government and state taxation. A key question was how to fit the state and national </w:t>
      </w:r>
      <w:r w:rsidR="00320F16">
        <w:rPr>
          <w:color w:val="000000" w:themeColor="text1"/>
        </w:rPr>
        <w:t>systems</w:t>
      </w:r>
      <w:r w:rsidR="0035609C">
        <w:rPr>
          <w:color w:val="000000" w:themeColor="text1"/>
        </w:rPr>
        <w:t xml:space="preserve"> together</w:t>
      </w:r>
      <w:r w:rsidR="005E38C0">
        <w:rPr>
          <w:color w:val="000000" w:themeColor="text1"/>
        </w:rPr>
        <w:t>, not least in terms of taxation, as imposing taxation at national level might not seem so different from the British imposts which they had fought to abolish.</w:t>
      </w:r>
      <w:r w:rsidR="00BF78B5">
        <w:rPr>
          <w:color w:val="000000" w:themeColor="text1"/>
        </w:rPr>
        <w:t xml:space="preserve"> It needed to be something </w:t>
      </w:r>
      <w:r w:rsidR="00175803">
        <w:rPr>
          <w:color w:val="000000" w:themeColor="text1"/>
        </w:rPr>
        <w:t xml:space="preserve">to which </w:t>
      </w:r>
      <w:r w:rsidR="00BF78B5">
        <w:rPr>
          <w:color w:val="000000" w:themeColor="text1"/>
        </w:rPr>
        <w:t>all parties agreed</w:t>
      </w:r>
      <w:r w:rsidR="00175803">
        <w:rPr>
          <w:color w:val="000000" w:themeColor="text1"/>
        </w:rPr>
        <w:t>.</w:t>
      </w:r>
    </w:p>
    <w:p w14:paraId="59C3E41D" w14:textId="1B679D36" w:rsidR="005E38C0" w:rsidRDefault="005E38C0" w:rsidP="00292683">
      <w:pPr>
        <w:autoSpaceDE w:val="0"/>
        <w:autoSpaceDN w:val="0"/>
        <w:adjustRightInd w:val="0"/>
        <w:spacing w:after="0" w:line="240" w:lineRule="auto"/>
        <w:ind w:right="-22"/>
        <w:jc w:val="both"/>
        <w:rPr>
          <w:color w:val="000000" w:themeColor="text1"/>
        </w:rPr>
      </w:pPr>
    </w:p>
    <w:p w14:paraId="69A9FA1A" w14:textId="25515868" w:rsidR="001B066B" w:rsidRDefault="005E38C0" w:rsidP="001B066B">
      <w:pPr>
        <w:autoSpaceDE w:val="0"/>
        <w:autoSpaceDN w:val="0"/>
        <w:adjustRightInd w:val="0"/>
        <w:spacing w:after="0" w:line="240" w:lineRule="auto"/>
        <w:ind w:right="-22" w:firstLine="720"/>
        <w:jc w:val="both"/>
        <w:rPr>
          <w:color w:val="000000" w:themeColor="text1"/>
        </w:rPr>
      </w:pPr>
      <w:r>
        <w:rPr>
          <w:color w:val="000000" w:themeColor="text1"/>
        </w:rPr>
        <w:t xml:space="preserve">Locke did not actually write much about taxation, although what he did write has been </w:t>
      </w:r>
      <w:r w:rsidR="001B066B">
        <w:rPr>
          <w:color w:val="000000" w:themeColor="text1"/>
        </w:rPr>
        <w:t xml:space="preserve">much discussed ever since. The </w:t>
      </w:r>
      <w:r w:rsidR="000F009F">
        <w:rPr>
          <w:color w:val="000000" w:themeColor="text1"/>
        </w:rPr>
        <w:t xml:space="preserve">essence </w:t>
      </w:r>
      <w:r w:rsidR="001B066B" w:rsidRPr="001B066B">
        <w:rPr>
          <w:color w:val="000000" w:themeColor="text1"/>
        </w:rPr>
        <w:t xml:space="preserve">of </w:t>
      </w:r>
      <w:r w:rsidR="001B066B">
        <w:rPr>
          <w:color w:val="000000" w:themeColor="text1"/>
        </w:rPr>
        <w:t>his</w:t>
      </w:r>
      <w:r w:rsidR="001B066B" w:rsidRPr="001B066B">
        <w:rPr>
          <w:color w:val="000000" w:themeColor="text1"/>
        </w:rPr>
        <w:t xml:space="preserve"> thought appears in </w:t>
      </w:r>
      <w:r w:rsidR="00F528B6">
        <w:rPr>
          <w:color w:val="000000" w:themeColor="text1"/>
        </w:rPr>
        <w:t xml:space="preserve">a key passage of </w:t>
      </w:r>
      <w:r w:rsidR="001B066B" w:rsidRPr="001B066B">
        <w:rPr>
          <w:color w:val="000000" w:themeColor="text1"/>
        </w:rPr>
        <w:t xml:space="preserve">the </w:t>
      </w:r>
      <w:bookmarkStart w:id="5" w:name="_Hlk106195751"/>
      <w:r w:rsidR="001B066B" w:rsidRPr="001B066B">
        <w:rPr>
          <w:i/>
          <w:iCs/>
          <w:color w:val="000000" w:themeColor="text1"/>
        </w:rPr>
        <w:t>Second Treatise</w:t>
      </w:r>
      <w:bookmarkEnd w:id="5"/>
      <w:r w:rsidR="001B066B" w:rsidRPr="001B066B">
        <w:rPr>
          <w:color w:val="000000" w:themeColor="text1"/>
        </w:rPr>
        <w:t>:</w:t>
      </w:r>
      <w:r w:rsidR="00F528B6">
        <w:rPr>
          <w:rStyle w:val="FootnoteReference"/>
          <w:color w:val="000000" w:themeColor="text1"/>
        </w:rPr>
        <w:footnoteReference w:id="72"/>
      </w:r>
    </w:p>
    <w:p w14:paraId="4DD405CC" w14:textId="77777777" w:rsidR="001B066B" w:rsidRPr="001B066B" w:rsidRDefault="001B066B" w:rsidP="001B066B">
      <w:pPr>
        <w:autoSpaceDE w:val="0"/>
        <w:autoSpaceDN w:val="0"/>
        <w:adjustRightInd w:val="0"/>
        <w:spacing w:after="0" w:line="240" w:lineRule="auto"/>
        <w:ind w:right="-22"/>
        <w:jc w:val="both"/>
        <w:rPr>
          <w:color w:val="000000" w:themeColor="text1"/>
        </w:rPr>
      </w:pPr>
    </w:p>
    <w:p w14:paraId="4888E6C4" w14:textId="38EC9DCC" w:rsidR="005E38C0" w:rsidRDefault="001B066B" w:rsidP="001B066B">
      <w:pPr>
        <w:autoSpaceDE w:val="0"/>
        <w:autoSpaceDN w:val="0"/>
        <w:adjustRightInd w:val="0"/>
        <w:spacing w:after="0" w:line="240" w:lineRule="auto"/>
        <w:ind w:left="720" w:right="662"/>
        <w:jc w:val="both"/>
        <w:rPr>
          <w:color w:val="000000" w:themeColor="text1"/>
        </w:rPr>
      </w:pPr>
      <w:r w:rsidRPr="001B066B">
        <w:rPr>
          <w:color w:val="000000" w:themeColor="text1"/>
        </w:rPr>
        <w:t xml:space="preserve">’Tis true that Governments cannot be supported without great charge, and ’tis fit </w:t>
      </w:r>
      <w:proofErr w:type="spellStart"/>
      <w:proofErr w:type="gramStart"/>
      <w:r w:rsidRPr="001B066B">
        <w:rPr>
          <w:color w:val="000000" w:themeColor="text1"/>
        </w:rPr>
        <w:t>every one</w:t>
      </w:r>
      <w:proofErr w:type="spellEnd"/>
      <w:proofErr w:type="gramEnd"/>
      <w:r w:rsidRPr="001B066B">
        <w:rPr>
          <w:color w:val="000000" w:themeColor="text1"/>
        </w:rPr>
        <w:t xml:space="preserve"> who enjoys his share of the Protection should pay out of his estate his proportion for the maintenance of it. But still it must be with his own Consent – </w:t>
      </w:r>
      <w:proofErr w:type="gramStart"/>
      <w:r w:rsidRPr="001B066B">
        <w:rPr>
          <w:i/>
          <w:iCs/>
          <w:color w:val="000000" w:themeColor="text1"/>
        </w:rPr>
        <w:t>i.e.</w:t>
      </w:r>
      <w:proofErr w:type="gramEnd"/>
      <w:r w:rsidRPr="001B066B">
        <w:rPr>
          <w:color w:val="000000" w:themeColor="text1"/>
        </w:rPr>
        <w:t xml:space="preserve"> the Consent of the Majority, giving it either by themselves or their Representatives chosen by them. For if </w:t>
      </w:r>
      <w:proofErr w:type="gramStart"/>
      <w:r w:rsidRPr="001B066B">
        <w:rPr>
          <w:color w:val="000000" w:themeColor="text1"/>
        </w:rPr>
        <w:t>any one</w:t>
      </w:r>
      <w:proofErr w:type="gramEnd"/>
      <w:r w:rsidRPr="001B066B">
        <w:rPr>
          <w:color w:val="000000" w:themeColor="text1"/>
        </w:rPr>
        <w:t xml:space="preserve"> shall claim a </w:t>
      </w:r>
      <w:r w:rsidRPr="001B066B">
        <w:rPr>
          <w:i/>
          <w:iCs/>
          <w:color w:val="000000" w:themeColor="text1"/>
        </w:rPr>
        <w:t xml:space="preserve">Power to lay </w:t>
      </w:r>
      <w:r w:rsidRPr="001B066B">
        <w:rPr>
          <w:color w:val="000000" w:themeColor="text1"/>
        </w:rPr>
        <w:t xml:space="preserve">and levy </w:t>
      </w:r>
      <w:r w:rsidRPr="001B066B">
        <w:rPr>
          <w:i/>
          <w:iCs/>
          <w:color w:val="000000" w:themeColor="text1"/>
        </w:rPr>
        <w:t xml:space="preserve">Taxes </w:t>
      </w:r>
      <w:r w:rsidRPr="001B066B">
        <w:rPr>
          <w:color w:val="000000" w:themeColor="text1"/>
        </w:rPr>
        <w:t xml:space="preserve">on the People by his own authority, and without such consent of the People, he thereby invades the </w:t>
      </w:r>
      <w:r w:rsidRPr="001B066B">
        <w:rPr>
          <w:i/>
          <w:iCs/>
          <w:color w:val="000000" w:themeColor="text1"/>
        </w:rPr>
        <w:t>Fundamental Law of Property</w:t>
      </w:r>
      <w:r w:rsidRPr="001B066B">
        <w:rPr>
          <w:color w:val="000000" w:themeColor="text1"/>
        </w:rPr>
        <w:t>, and subverts the end of government. For what property have I in that which another may by right take when he pleases himself?</w:t>
      </w:r>
    </w:p>
    <w:p w14:paraId="5AD87D2E" w14:textId="5D6F4E14" w:rsidR="005E38C0" w:rsidRDefault="005E38C0" w:rsidP="00292683">
      <w:pPr>
        <w:autoSpaceDE w:val="0"/>
        <w:autoSpaceDN w:val="0"/>
        <w:adjustRightInd w:val="0"/>
        <w:spacing w:after="0" w:line="240" w:lineRule="auto"/>
        <w:ind w:right="-22"/>
        <w:jc w:val="both"/>
        <w:rPr>
          <w:color w:val="000000" w:themeColor="text1"/>
        </w:rPr>
      </w:pPr>
    </w:p>
    <w:p w14:paraId="121346BF" w14:textId="0928024C" w:rsidR="001B066B" w:rsidRDefault="001B066B" w:rsidP="00292683">
      <w:pPr>
        <w:autoSpaceDE w:val="0"/>
        <w:autoSpaceDN w:val="0"/>
        <w:adjustRightInd w:val="0"/>
        <w:spacing w:after="0" w:line="240" w:lineRule="auto"/>
        <w:ind w:right="-22"/>
        <w:jc w:val="both"/>
        <w:rPr>
          <w:color w:val="000000" w:themeColor="text1"/>
        </w:rPr>
      </w:pPr>
      <w:r>
        <w:rPr>
          <w:color w:val="000000" w:themeColor="text1"/>
        </w:rPr>
        <w:t xml:space="preserve">For Locke, tax is very much tied up with property rights, and the meaning of many of the terms he used are still </w:t>
      </w:r>
      <w:r w:rsidR="000F009F">
        <w:rPr>
          <w:color w:val="000000" w:themeColor="text1"/>
        </w:rPr>
        <w:t>debated.</w:t>
      </w:r>
      <w:r w:rsidR="000F009F">
        <w:rPr>
          <w:rStyle w:val="FootnoteReference"/>
          <w:color w:val="000000" w:themeColor="text1"/>
        </w:rPr>
        <w:footnoteReference w:id="73"/>
      </w:r>
      <w:r w:rsidR="000F009F">
        <w:rPr>
          <w:color w:val="000000" w:themeColor="text1"/>
        </w:rPr>
        <w:t xml:space="preserve"> However, </w:t>
      </w:r>
      <w:r w:rsidR="00D82CE6">
        <w:rPr>
          <w:color w:val="000000" w:themeColor="text1"/>
        </w:rPr>
        <w:t>a</w:t>
      </w:r>
      <w:r w:rsidR="000F009F">
        <w:rPr>
          <w:color w:val="000000" w:themeColor="text1"/>
        </w:rPr>
        <w:t xml:space="preserve"> crucial element here in the US context is the requirement of the consent of the majority. </w:t>
      </w:r>
      <w:r w:rsidR="003F3231">
        <w:rPr>
          <w:color w:val="000000" w:themeColor="text1"/>
        </w:rPr>
        <w:t xml:space="preserve">Later in the same section of the </w:t>
      </w:r>
      <w:r w:rsidR="003F3231" w:rsidRPr="003F3231">
        <w:rPr>
          <w:i/>
          <w:iCs/>
          <w:color w:val="000000" w:themeColor="text1"/>
        </w:rPr>
        <w:t>Second Treatise</w:t>
      </w:r>
      <w:r w:rsidR="003F3231">
        <w:rPr>
          <w:color w:val="000000" w:themeColor="text1"/>
        </w:rPr>
        <w:t xml:space="preserve">, Locke comments that the ‘supreme power cannot take from any many any part of his property without his own consent’. This is the basis of his social contract. The voluntary alienation of property rights contradicts the government-protected right to private property – but tax is seen as the voluntary </w:t>
      </w:r>
      <w:r w:rsidR="00846FB5">
        <w:rPr>
          <w:color w:val="000000" w:themeColor="text1"/>
        </w:rPr>
        <w:t xml:space="preserve">and consensual </w:t>
      </w:r>
      <w:r w:rsidR="003F3231">
        <w:rPr>
          <w:color w:val="000000" w:themeColor="text1"/>
        </w:rPr>
        <w:t xml:space="preserve">price paid </w:t>
      </w:r>
      <w:r w:rsidR="00846FB5">
        <w:rPr>
          <w:color w:val="000000" w:themeColor="text1"/>
        </w:rPr>
        <w:t xml:space="preserve">for living in a society. This tension remains to this day, with Epstein noting that taxation is ‘… the power to coerce other individuals to surrender their property </w:t>
      </w:r>
      <w:r w:rsidR="00846FB5" w:rsidRPr="00846FB5">
        <w:rPr>
          <w:i/>
          <w:iCs/>
          <w:color w:val="000000" w:themeColor="text1"/>
        </w:rPr>
        <w:t>without</w:t>
      </w:r>
      <w:r w:rsidR="00846FB5">
        <w:rPr>
          <w:color w:val="000000" w:themeColor="text1"/>
        </w:rPr>
        <w:t xml:space="preserve"> their consent’.</w:t>
      </w:r>
      <w:r w:rsidR="00846FB5">
        <w:rPr>
          <w:rStyle w:val="FootnoteReference"/>
          <w:color w:val="000000" w:themeColor="text1"/>
        </w:rPr>
        <w:footnoteReference w:id="74"/>
      </w:r>
      <w:r w:rsidR="00D82CE6">
        <w:rPr>
          <w:color w:val="000000" w:themeColor="text1"/>
        </w:rPr>
        <w:t xml:space="preserve"> It is not clear from Locke’s text whether majority means </w:t>
      </w:r>
      <w:proofErr w:type="gramStart"/>
      <w:r w:rsidR="00D82CE6">
        <w:rPr>
          <w:color w:val="000000" w:themeColor="text1"/>
        </w:rPr>
        <w:t>a majority of</w:t>
      </w:r>
      <w:proofErr w:type="gramEnd"/>
      <w:r w:rsidR="00D82CE6">
        <w:rPr>
          <w:color w:val="000000" w:themeColor="text1"/>
        </w:rPr>
        <w:t xml:space="preserve"> individuals or elected representatives. In the latter </w:t>
      </w:r>
      <w:r w:rsidR="00264DAE">
        <w:rPr>
          <w:color w:val="000000" w:themeColor="text1"/>
        </w:rPr>
        <w:t>case, a sizeable minority might disagree.</w:t>
      </w:r>
      <w:r w:rsidR="009977FE" w:rsidRPr="009977FE">
        <w:rPr>
          <w:color w:val="000000" w:themeColor="text1"/>
        </w:rPr>
        <w:t xml:space="preserve"> </w:t>
      </w:r>
      <w:r w:rsidR="009977FE">
        <w:rPr>
          <w:color w:val="000000" w:themeColor="text1"/>
        </w:rPr>
        <w:t xml:space="preserve">Locke </w:t>
      </w:r>
      <w:r w:rsidR="009977FE" w:rsidRPr="00DE7E39">
        <w:rPr>
          <w:color w:val="000000" w:themeColor="text1"/>
        </w:rPr>
        <w:t>says</w:t>
      </w:r>
      <w:r w:rsidR="00CF37C6">
        <w:rPr>
          <w:color w:val="000000" w:themeColor="text1"/>
        </w:rPr>
        <w:t>, however</w:t>
      </w:r>
      <w:r w:rsidR="009977FE" w:rsidRPr="00DE7E39">
        <w:rPr>
          <w:color w:val="000000" w:themeColor="text1"/>
        </w:rPr>
        <w:t>), that a legislative power cannot act wilfully or arbitrarily,</w:t>
      </w:r>
      <w:r w:rsidR="00B50D26">
        <w:rPr>
          <w:rStyle w:val="FootnoteReference"/>
          <w:color w:val="000000" w:themeColor="text1"/>
        </w:rPr>
        <w:footnoteReference w:id="75"/>
      </w:r>
      <w:r w:rsidR="009977FE" w:rsidRPr="00DE7E39">
        <w:rPr>
          <w:color w:val="000000" w:themeColor="text1"/>
        </w:rPr>
        <w:t xml:space="preserve"> </w:t>
      </w:r>
      <w:r w:rsidR="00CF37C6">
        <w:rPr>
          <w:color w:val="000000" w:themeColor="text1"/>
        </w:rPr>
        <w:t>and that in such cases</w:t>
      </w:r>
      <w:r w:rsidR="009977FE">
        <w:rPr>
          <w:color w:val="000000" w:themeColor="text1"/>
        </w:rPr>
        <w:t>, revolt by the people is justified</w:t>
      </w:r>
      <w:r w:rsidR="00CF37C6">
        <w:rPr>
          <w:color w:val="000000" w:themeColor="text1"/>
        </w:rPr>
        <w:t>.</w:t>
      </w:r>
      <w:r w:rsidR="00B50D26">
        <w:rPr>
          <w:rStyle w:val="FootnoteReference"/>
          <w:color w:val="000000" w:themeColor="text1"/>
        </w:rPr>
        <w:footnoteReference w:id="76"/>
      </w:r>
      <w:r w:rsidR="006C0BB2">
        <w:rPr>
          <w:color w:val="000000" w:themeColor="text1"/>
        </w:rPr>
        <w:t xml:space="preserve"> He was never specific about any particular form of </w:t>
      </w:r>
      <w:proofErr w:type="gramStart"/>
      <w:r w:rsidR="006C0BB2">
        <w:rPr>
          <w:color w:val="000000" w:themeColor="text1"/>
        </w:rPr>
        <w:t>taxation, but</w:t>
      </w:r>
      <w:proofErr w:type="gramEnd"/>
      <w:r w:rsidR="006C0BB2">
        <w:rPr>
          <w:color w:val="000000" w:themeColor="text1"/>
        </w:rPr>
        <w:t xml:space="preserve"> thought that tax would fall </w:t>
      </w:r>
      <w:r w:rsidR="00586AE0">
        <w:rPr>
          <w:color w:val="000000" w:themeColor="text1"/>
        </w:rPr>
        <w:t xml:space="preserve">ultimately on land. As a former Registrar of Excise </w:t>
      </w:r>
      <w:r w:rsidR="00320F16">
        <w:rPr>
          <w:color w:val="000000" w:themeColor="text1"/>
        </w:rPr>
        <w:t>himself</w:t>
      </w:r>
      <w:r w:rsidR="00D94591">
        <w:rPr>
          <w:color w:val="000000" w:themeColor="text1"/>
        </w:rPr>
        <w:t xml:space="preserve"> </w:t>
      </w:r>
      <w:r w:rsidR="00586AE0">
        <w:rPr>
          <w:color w:val="000000" w:themeColor="text1"/>
        </w:rPr>
        <w:t>during his long and varied career, he would have known</w:t>
      </w:r>
      <w:r w:rsidR="00EA39AB">
        <w:rPr>
          <w:color w:val="000000" w:themeColor="text1"/>
        </w:rPr>
        <w:t>, though,</w:t>
      </w:r>
      <w:r w:rsidR="00586AE0">
        <w:rPr>
          <w:color w:val="000000" w:themeColor="text1"/>
        </w:rPr>
        <w:t xml:space="preserve"> that excise and customs duties raised much more than land taxes.</w:t>
      </w:r>
    </w:p>
    <w:p w14:paraId="72508C23" w14:textId="171D1992" w:rsidR="00175803" w:rsidRDefault="00175803" w:rsidP="00292683">
      <w:pPr>
        <w:autoSpaceDE w:val="0"/>
        <w:autoSpaceDN w:val="0"/>
        <w:adjustRightInd w:val="0"/>
        <w:spacing w:after="0" w:line="240" w:lineRule="auto"/>
        <w:ind w:right="-22"/>
        <w:jc w:val="both"/>
        <w:rPr>
          <w:color w:val="000000" w:themeColor="text1"/>
        </w:rPr>
      </w:pPr>
    </w:p>
    <w:p w14:paraId="526ABD72" w14:textId="6AD5C3D2" w:rsidR="00175803" w:rsidRDefault="00175803" w:rsidP="00505564">
      <w:pPr>
        <w:autoSpaceDE w:val="0"/>
        <w:autoSpaceDN w:val="0"/>
        <w:adjustRightInd w:val="0"/>
        <w:spacing w:after="0" w:line="240" w:lineRule="auto"/>
        <w:ind w:right="-22" w:firstLine="720"/>
        <w:jc w:val="both"/>
        <w:rPr>
          <w:color w:val="000000" w:themeColor="text1"/>
        </w:rPr>
      </w:pPr>
      <w:r>
        <w:rPr>
          <w:color w:val="000000" w:themeColor="text1"/>
        </w:rPr>
        <w:t>For Montesquieu and Hume, there was no need for a social contract. That man lived in society was simply a fact of life.</w:t>
      </w:r>
      <w:r w:rsidR="009977FE">
        <w:rPr>
          <w:color w:val="000000" w:themeColor="text1"/>
        </w:rPr>
        <w:t xml:space="preserve"> </w:t>
      </w:r>
      <w:r w:rsidR="00CF37C6">
        <w:rPr>
          <w:color w:val="000000" w:themeColor="text1"/>
        </w:rPr>
        <w:t xml:space="preserve">To </w:t>
      </w:r>
      <w:r w:rsidR="009977FE">
        <w:rPr>
          <w:color w:val="000000" w:themeColor="text1"/>
        </w:rPr>
        <w:t>Montesquieu</w:t>
      </w:r>
      <w:r w:rsidR="00CF37C6">
        <w:rPr>
          <w:color w:val="000000" w:themeColor="text1"/>
        </w:rPr>
        <w:t xml:space="preserve">, despotic power concentrated in the hands of one person or institution </w:t>
      </w:r>
      <w:r w:rsidR="006C0BB2">
        <w:rPr>
          <w:color w:val="000000" w:themeColor="text1"/>
        </w:rPr>
        <w:t>was</w:t>
      </w:r>
      <w:r w:rsidR="00CF37C6">
        <w:rPr>
          <w:color w:val="000000" w:themeColor="text1"/>
        </w:rPr>
        <w:t xml:space="preserve"> abhorrent, and he famously distinguishe</w:t>
      </w:r>
      <w:r w:rsidR="006C0BB2">
        <w:rPr>
          <w:color w:val="000000" w:themeColor="text1"/>
        </w:rPr>
        <w:t>d</w:t>
      </w:r>
      <w:r w:rsidR="00CF37C6">
        <w:rPr>
          <w:color w:val="000000" w:themeColor="text1"/>
        </w:rPr>
        <w:t xml:space="preserve"> three types of power</w:t>
      </w:r>
      <w:r w:rsidR="00502E91">
        <w:rPr>
          <w:color w:val="000000" w:themeColor="text1"/>
        </w:rPr>
        <w:t xml:space="preserve"> needed to sustain political liberty</w:t>
      </w:r>
      <w:r w:rsidR="00CF37C6">
        <w:rPr>
          <w:color w:val="000000" w:themeColor="text1"/>
        </w:rPr>
        <w:t xml:space="preserve">: legislative, </w:t>
      </w:r>
      <w:proofErr w:type="gramStart"/>
      <w:r w:rsidR="00CF37C6">
        <w:rPr>
          <w:color w:val="000000" w:themeColor="text1"/>
        </w:rPr>
        <w:t>executive</w:t>
      </w:r>
      <w:proofErr w:type="gramEnd"/>
      <w:r w:rsidR="00CF37C6">
        <w:rPr>
          <w:color w:val="000000" w:themeColor="text1"/>
        </w:rPr>
        <w:t xml:space="preserve"> and </w:t>
      </w:r>
      <w:r w:rsidR="00A16AF2">
        <w:rPr>
          <w:color w:val="000000" w:themeColor="text1"/>
        </w:rPr>
        <w:t>judicial</w:t>
      </w:r>
      <w:r w:rsidR="00502E91">
        <w:rPr>
          <w:color w:val="000000" w:themeColor="text1"/>
        </w:rPr>
        <w:t>,</w:t>
      </w:r>
      <w:r w:rsidR="0074456F">
        <w:rPr>
          <w:rStyle w:val="FootnoteReference"/>
          <w:color w:val="000000" w:themeColor="text1"/>
        </w:rPr>
        <w:footnoteReference w:id="77"/>
      </w:r>
      <w:r w:rsidR="00502E91">
        <w:rPr>
          <w:color w:val="000000" w:themeColor="text1"/>
        </w:rPr>
        <w:t xml:space="preserve"> which should work as partners in making laws. He s</w:t>
      </w:r>
      <w:r w:rsidR="006C0BB2">
        <w:rPr>
          <w:color w:val="000000" w:themeColor="text1"/>
        </w:rPr>
        <w:t>aw</w:t>
      </w:r>
      <w:r w:rsidR="00502E91">
        <w:rPr>
          <w:color w:val="000000" w:themeColor="text1"/>
        </w:rPr>
        <w:t xml:space="preserve"> political liberty as closely linked to taxes: ‘</w:t>
      </w:r>
      <w:r w:rsidR="00D94591">
        <w:rPr>
          <w:color w:val="000000" w:themeColor="text1"/>
        </w:rPr>
        <w:t>[t]</w:t>
      </w:r>
      <w:r w:rsidR="00505564" w:rsidRPr="007F17F4">
        <w:rPr>
          <w:lang w:val="en-US"/>
        </w:rPr>
        <w:t xml:space="preserve">he revenues of the state are a portion each citizen gives of his goods </w:t>
      </w:r>
      <w:proofErr w:type="gramStart"/>
      <w:r w:rsidR="00505564" w:rsidRPr="007F17F4">
        <w:rPr>
          <w:lang w:val="en-US"/>
        </w:rPr>
        <w:t>in order to</w:t>
      </w:r>
      <w:proofErr w:type="gramEnd"/>
      <w:r w:rsidR="00505564" w:rsidRPr="007F17F4">
        <w:rPr>
          <w:lang w:val="en-US"/>
        </w:rPr>
        <w:t xml:space="preserve"> have security or the comfortable enjoyment of the rest</w:t>
      </w:r>
      <w:r w:rsidR="00505564">
        <w:rPr>
          <w:lang w:val="en-US"/>
        </w:rPr>
        <w:t>’.</w:t>
      </w:r>
      <w:r w:rsidR="00505564">
        <w:rPr>
          <w:rStyle w:val="FootnoteReference"/>
          <w:lang w:val="en-US"/>
        </w:rPr>
        <w:footnoteReference w:id="78"/>
      </w:r>
    </w:p>
    <w:p w14:paraId="6D60206E" w14:textId="1BC9011E" w:rsidR="00175803" w:rsidRDefault="00175803" w:rsidP="00292683">
      <w:pPr>
        <w:autoSpaceDE w:val="0"/>
        <w:autoSpaceDN w:val="0"/>
        <w:adjustRightInd w:val="0"/>
        <w:spacing w:after="0" w:line="240" w:lineRule="auto"/>
        <w:ind w:right="-22"/>
        <w:jc w:val="both"/>
        <w:rPr>
          <w:color w:val="000000" w:themeColor="text1"/>
        </w:rPr>
      </w:pPr>
    </w:p>
    <w:p w14:paraId="11320DB8" w14:textId="2DEBCB26" w:rsidR="00505564" w:rsidRPr="00505564" w:rsidRDefault="00505564" w:rsidP="00505564">
      <w:pPr>
        <w:spacing w:line="240" w:lineRule="auto"/>
        <w:ind w:left="720" w:right="662"/>
        <w:jc w:val="both"/>
        <w:rPr>
          <w:lang w:val="en-US"/>
        </w:rPr>
      </w:pPr>
      <w:r w:rsidRPr="00505564">
        <w:t xml:space="preserve">The raising of public funds, a fortiori, the levying of taxes, is the legislator’s prerogative and it is the </w:t>
      </w:r>
      <w:r>
        <w:t>‘</w:t>
      </w:r>
      <w:r w:rsidRPr="00505564">
        <w:t>most important point of legislation</w:t>
      </w:r>
      <w:r>
        <w:t>’</w:t>
      </w:r>
      <w:r w:rsidRPr="00505564">
        <w:t xml:space="preserve"> </w:t>
      </w:r>
      <w:r w:rsidRPr="00505564">
        <w:rPr>
          <w:lang w:val="en-US"/>
        </w:rPr>
        <w:t>(</w:t>
      </w:r>
      <w:r w:rsidRPr="00505564">
        <w:rPr>
          <w:i/>
          <w:iCs/>
          <w:lang w:val="en-US"/>
        </w:rPr>
        <w:t>Spirit</w:t>
      </w:r>
      <w:r w:rsidRPr="00505564">
        <w:rPr>
          <w:lang w:val="en-US"/>
        </w:rPr>
        <w:t xml:space="preserve"> </w:t>
      </w:r>
      <w:r w:rsidRPr="00505564">
        <w:t xml:space="preserve">XI, 6, 164). Taxation requires </w:t>
      </w:r>
      <w:r>
        <w:t>‘</w:t>
      </w:r>
      <w:r w:rsidRPr="00505564">
        <w:t>wisdom and prudence</w:t>
      </w:r>
      <w:r>
        <w:t>’</w:t>
      </w:r>
      <w:r w:rsidRPr="00505564">
        <w:t xml:space="preserve"> to determine the proper proportion between </w:t>
      </w:r>
      <w:r>
        <w:t>‘</w:t>
      </w:r>
      <w:r w:rsidRPr="00505564">
        <w:t>the necessities of the state and the necessities of the citizens</w:t>
      </w:r>
      <w:r>
        <w:t>’</w:t>
      </w:r>
      <w:r w:rsidRPr="00505564">
        <w:t xml:space="preserve"> </w:t>
      </w:r>
      <w:r w:rsidRPr="00505564">
        <w:rPr>
          <w:lang w:val="en-US"/>
        </w:rPr>
        <w:t>(</w:t>
      </w:r>
      <w:bookmarkStart w:id="6" w:name="_Hlk81842303"/>
      <w:r w:rsidRPr="00505564">
        <w:rPr>
          <w:i/>
          <w:iCs/>
          <w:lang w:val="en-US"/>
        </w:rPr>
        <w:t>Spirit</w:t>
      </w:r>
      <w:r w:rsidRPr="00505564">
        <w:rPr>
          <w:lang w:val="en-US"/>
        </w:rPr>
        <w:t xml:space="preserve"> XIII, 1, 213</w:t>
      </w:r>
      <w:bookmarkEnd w:id="6"/>
      <w:r w:rsidRPr="00505564">
        <w:rPr>
          <w:lang w:val="en-US"/>
        </w:rPr>
        <w:t xml:space="preserve">). It is all about moderation and political prudence </w:t>
      </w:r>
      <w:r w:rsidRPr="00505564">
        <w:t>(</w:t>
      </w:r>
      <w:proofErr w:type="spellStart"/>
      <w:r w:rsidRPr="00505564">
        <w:rPr>
          <w:spacing w:val="-2"/>
        </w:rPr>
        <w:t>Shklar</w:t>
      </w:r>
      <w:proofErr w:type="spellEnd"/>
      <w:r w:rsidRPr="00505564">
        <w:rPr>
          <w:spacing w:val="-2"/>
        </w:rPr>
        <w:t xml:space="preserve"> 1987, 91</w:t>
      </w:r>
      <w:r w:rsidR="00F52910">
        <w:rPr>
          <w:rStyle w:val="FootnoteReference"/>
          <w:spacing w:val="-2"/>
        </w:rPr>
        <w:footnoteReference w:id="79"/>
      </w:r>
      <w:r w:rsidRPr="00505564">
        <w:rPr>
          <w:spacing w:val="-2"/>
        </w:rPr>
        <w:t>)</w:t>
      </w:r>
      <w:r w:rsidRPr="00505564">
        <w:t xml:space="preserve">. </w:t>
      </w:r>
      <w:proofErr w:type="gramStart"/>
      <w:r w:rsidRPr="00505564">
        <w:t>With regard to</w:t>
      </w:r>
      <w:proofErr w:type="gramEnd"/>
      <w:r w:rsidRPr="00505564">
        <w:t xml:space="preserve"> tax administration, Montesquieu prefers tax collection by government officials rather than revenue farming, which boils down to impoverishing the treasury and often implied the use of brutal methods (</w:t>
      </w:r>
      <w:r w:rsidRPr="00505564">
        <w:rPr>
          <w:i/>
          <w:iCs/>
        </w:rPr>
        <w:t>Spirit</w:t>
      </w:r>
      <w:r w:rsidRPr="00505564">
        <w:t xml:space="preserve"> XIII, 19, 226).</w:t>
      </w:r>
      <w:r w:rsidR="00F52910">
        <w:rPr>
          <w:rStyle w:val="FootnoteReference"/>
        </w:rPr>
        <w:footnoteReference w:id="80"/>
      </w:r>
    </w:p>
    <w:p w14:paraId="63A95300" w14:textId="4FD3BB72" w:rsidR="00175803" w:rsidRDefault="00175803" w:rsidP="00292683">
      <w:pPr>
        <w:autoSpaceDE w:val="0"/>
        <w:autoSpaceDN w:val="0"/>
        <w:adjustRightInd w:val="0"/>
        <w:spacing w:after="0" w:line="240" w:lineRule="auto"/>
        <w:ind w:right="-22"/>
        <w:jc w:val="both"/>
        <w:rPr>
          <w:color w:val="000000" w:themeColor="text1"/>
        </w:rPr>
      </w:pPr>
    </w:p>
    <w:p w14:paraId="08CAF3FC" w14:textId="44C8D9A8" w:rsidR="006C0BB2" w:rsidRDefault="006C0BB2" w:rsidP="00292683">
      <w:pPr>
        <w:autoSpaceDE w:val="0"/>
        <w:autoSpaceDN w:val="0"/>
        <w:adjustRightInd w:val="0"/>
        <w:spacing w:after="0" w:line="240" w:lineRule="auto"/>
        <w:ind w:right="-22"/>
        <w:jc w:val="both"/>
        <w:rPr>
          <w:color w:val="000000" w:themeColor="text1"/>
        </w:rPr>
      </w:pPr>
      <w:r>
        <w:rPr>
          <w:color w:val="000000" w:themeColor="text1"/>
        </w:rPr>
        <w:t>Montesquieu also thought that taxes should be adapted to the state in which societies find themselves, and their general spirit: they were contextual</w:t>
      </w:r>
      <w:r w:rsidR="00586AE0">
        <w:rPr>
          <w:color w:val="000000" w:themeColor="text1"/>
        </w:rPr>
        <w:t>, in other words. However, the greater the political liberty enjoyed, the greater the amount of revenue that could be raised.</w:t>
      </w:r>
      <w:r w:rsidR="00586AE0">
        <w:rPr>
          <w:rStyle w:val="FootnoteReference"/>
          <w:color w:val="000000" w:themeColor="text1"/>
        </w:rPr>
        <w:footnoteReference w:id="81"/>
      </w:r>
      <w:r w:rsidR="006C7924">
        <w:rPr>
          <w:color w:val="000000" w:themeColor="text1"/>
        </w:rPr>
        <w:t xml:space="preserve"> He distinguishes between taxes on persons, </w:t>
      </w:r>
      <w:proofErr w:type="gramStart"/>
      <w:r w:rsidR="006C7924">
        <w:rPr>
          <w:color w:val="000000" w:themeColor="text1"/>
        </w:rPr>
        <w:t>land</w:t>
      </w:r>
      <w:proofErr w:type="gramEnd"/>
      <w:r w:rsidR="006C7924">
        <w:rPr>
          <w:color w:val="000000" w:themeColor="text1"/>
        </w:rPr>
        <w:t xml:space="preserve"> and commodities</w:t>
      </w:r>
      <w:r w:rsidR="003227D5">
        <w:rPr>
          <w:color w:val="000000" w:themeColor="text1"/>
        </w:rPr>
        <w:t xml:space="preserve">. For example, taxes such as a poll tax are more common in despotic regimes with little or no political liberty, and those on commodities (indirect taxes) are more usual in </w:t>
      </w:r>
      <w:r w:rsidR="00DD581C">
        <w:rPr>
          <w:color w:val="000000" w:themeColor="text1"/>
        </w:rPr>
        <w:t>moderate states with more political liberty, as they are less related to the person. The</w:t>
      </w:r>
      <w:r w:rsidR="006C7924">
        <w:rPr>
          <w:color w:val="000000" w:themeColor="text1"/>
        </w:rPr>
        <w:t xml:space="preserve"> </w:t>
      </w:r>
      <w:r w:rsidR="00DD581C">
        <w:rPr>
          <w:color w:val="000000" w:themeColor="text1"/>
        </w:rPr>
        <w:t xml:space="preserve">latter are </w:t>
      </w:r>
      <w:r w:rsidR="006C7924">
        <w:rPr>
          <w:color w:val="000000" w:themeColor="text1"/>
        </w:rPr>
        <w:t>least felt by payers because they are not specifically requested,</w:t>
      </w:r>
      <w:r w:rsidR="006C7924">
        <w:rPr>
          <w:rStyle w:val="FootnoteReference"/>
          <w:color w:val="000000" w:themeColor="text1"/>
        </w:rPr>
        <w:footnoteReference w:id="82"/>
      </w:r>
      <w:r w:rsidR="006C7924">
        <w:rPr>
          <w:color w:val="000000" w:themeColor="text1"/>
        </w:rPr>
        <w:t xml:space="preserve"> and </w:t>
      </w:r>
      <w:r w:rsidR="00DD581C">
        <w:rPr>
          <w:color w:val="000000" w:themeColor="text1"/>
        </w:rPr>
        <w:t>can be so designed that people are almost unaware of them.</w:t>
      </w:r>
      <w:r w:rsidR="00DD581C">
        <w:rPr>
          <w:rStyle w:val="FootnoteReference"/>
          <w:color w:val="000000" w:themeColor="text1"/>
        </w:rPr>
        <w:footnoteReference w:id="83"/>
      </w:r>
      <w:r w:rsidR="00DD581C">
        <w:rPr>
          <w:color w:val="000000" w:themeColor="text1"/>
        </w:rPr>
        <w:t xml:space="preserve"> He </w:t>
      </w:r>
      <w:r w:rsidR="006C7924">
        <w:rPr>
          <w:color w:val="000000" w:themeColor="text1"/>
        </w:rPr>
        <w:t xml:space="preserve">advocates progressive taxation in </w:t>
      </w:r>
      <w:r w:rsidR="003227D5">
        <w:rPr>
          <w:color w:val="000000" w:themeColor="text1"/>
        </w:rPr>
        <w:t>limited way.</w:t>
      </w:r>
    </w:p>
    <w:p w14:paraId="6852DC05" w14:textId="4DCF8B6D" w:rsidR="003A7278" w:rsidRDefault="003A7278" w:rsidP="00292683">
      <w:pPr>
        <w:autoSpaceDE w:val="0"/>
        <w:autoSpaceDN w:val="0"/>
        <w:adjustRightInd w:val="0"/>
        <w:spacing w:after="0" w:line="240" w:lineRule="auto"/>
        <w:ind w:right="-22"/>
        <w:jc w:val="both"/>
        <w:rPr>
          <w:color w:val="000000" w:themeColor="text1"/>
        </w:rPr>
      </w:pPr>
    </w:p>
    <w:p w14:paraId="02B6AABE" w14:textId="38CAB9B6" w:rsidR="0088303E" w:rsidRPr="0088303E" w:rsidRDefault="003A7278" w:rsidP="00EA39AB">
      <w:pPr>
        <w:autoSpaceDE w:val="0"/>
        <w:autoSpaceDN w:val="0"/>
        <w:adjustRightInd w:val="0"/>
        <w:spacing w:line="240" w:lineRule="auto"/>
        <w:ind w:right="-46" w:firstLine="720"/>
        <w:jc w:val="both"/>
      </w:pPr>
      <w:r>
        <w:rPr>
          <w:color w:val="000000" w:themeColor="text1"/>
        </w:rPr>
        <w:t>Like Montesquieu, Hume saw no need for a social contract</w:t>
      </w:r>
      <w:r w:rsidR="0088303E">
        <w:rPr>
          <w:color w:val="000000" w:themeColor="text1"/>
        </w:rPr>
        <w:t xml:space="preserve">. However, the development of his thought processes is hard to unwind, owing to his frequent revisions of his own works </w:t>
      </w:r>
      <w:proofErr w:type="gramStart"/>
      <w:r w:rsidR="0088303E">
        <w:rPr>
          <w:color w:val="000000" w:themeColor="text1"/>
        </w:rPr>
        <w:t>over time</w:t>
      </w:r>
      <w:proofErr w:type="gramEnd"/>
      <w:r w:rsidR="0088303E">
        <w:rPr>
          <w:color w:val="000000" w:themeColor="text1"/>
        </w:rPr>
        <w:t>. A member of the Scottish Enlightenment, he had witnessed in his lifetime</w:t>
      </w:r>
      <w:r w:rsidR="00A50679">
        <w:rPr>
          <w:color w:val="000000" w:themeColor="text1"/>
        </w:rPr>
        <w:t>,</w:t>
      </w:r>
      <w:r w:rsidR="00A50679" w:rsidRPr="00A50679">
        <w:rPr>
          <w:color w:val="000000" w:themeColor="text1"/>
        </w:rPr>
        <w:t xml:space="preserve"> </w:t>
      </w:r>
      <w:r w:rsidR="00A50679">
        <w:rPr>
          <w:color w:val="000000" w:themeColor="text1"/>
        </w:rPr>
        <w:t xml:space="preserve">like Locke, </w:t>
      </w:r>
      <w:r w:rsidR="00A80D71">
        <w:rPr>
          <w:color w:val="000000" w:themeColor="text1"/>
        </w:rPr>
        <w:t>s</w:t>
      </w:r>
      <w:r w:rsidR="0088303E">
        <w:rPr>
          <w:color w:val="000000" w:themeColor="text1"/>
        </w:rPr>
        <w:t>ignificant unrest.</w:t>
      </w:r>
      <w:r w:rsidR="0088303E" w:rsidRPr="0088303E">
        <w:t xml:space="preserve"> As Frecknall-Hughes</w:t>
      </w:r>
      <w:r w:rsidR="0088303E">
        <w:rPr>
          <w:rStyle w:val="FootnoteReference"/>
        </w:rPr>
        <w:footnoteReference w:id="84"/>
      </w:r>
      <w:r w:rsidR="0088303E" w:rsidRPr="0088303E">
        <w:t xml:space="preserve"> notes:</w:t>
      </w:r>
    </w:p>
    <w:p w14:paraId="34C0EFC6" w14:textId="3383CA57" w:rsidR="0088303E" w:rsidRPr="0088303E" w:rsidRDefault="0088303E" w:rsidP="00D94591">
      <w:pPr>
        <w:tabs>
          <w:tab w:val="left" w:pos="8364"/>
        </w:tabs>
        <w:autoSpaceDE w:val="0"/>
        <w:autoSpaceDN w:val="0"/>
        <w:adjustRightInd w:val="0"/>
        <w:spacing w:after="0" w:line="240" w:lineRule="auto"/>
        <w:ind w:left="720" w:right="662"/>
        <w:jc w:val="both"/>
      </w:pPr>
      <w:r w:rsidRPr="0088303E">
        <w:t>Scotland had been involved in the disastrous Darien schemes, to set up colonies in the late 1690s on the Isthmus of Panama, which had lessened resistance to its formal political union with England in 1707, though there was still protest against this; there were the various Jacobite rebellions (1689–1692, 1715, 1719 and 1745); the South Sea Bubble had burst in 1720; the Bank of England had been established (1694) and the National Debt to fund Britain’s wars, notably the War of the Spanish Succession (1702–1713) and the War of the Austrian Succession (1740–1748).</w:t>
      </w:r>
    </w:p>
    <w:p w14:paraId="03123780" w14:textId="68BB53F9" w:rsidR="003A7278" w:rsidRDefault="003A7278" w:rsidP="00EC5378">
      <w:pPr>
        <w:autoSpaceDE w:val="0"/>
        <w:autoSpaceDN w:val="0"/>
        <w:adjustRightInd w:val="0"/>
        <w:spacing w:after="0" w:line="240" w:lineRule="auto"/>
        <w:ind w:right="-22"/>
        <w:jc w:val="both"/>
        <w:rPr>
          <w:color w:val="000000" w:themeColor="text1"/>
        </w:rPr>
      </w:pPr>
    </w:p>
    <w:p w14:paraId="13943156" w14:textId="16D189DF" w:rsidR="003A7278" w:rsidRDefault="00EC5378" w:rsidP="00292683">
      <w:pPr>
        <w:autoSpaceDE w:val="0"/>
        <w:autoSpaceDN w:val="0"/>
        <w:adjustRightInd w:val="0"/>
        <w:spacing w:after="0" w:line="240" w:lineRule="auto"/>
        <w:ind w:right="-22"/>
        <w:jc w:val="both"/>
        <w:rPr>
          <w:color w:val="000000" w:themeColor="text1"/>
        </w:rPr>
      </w:pPr>
      <w:r>
        <w:rPr>
          <w:color w:val="000000" w:themeColor="text1"/>
        </w:rPr>
        <w:t>During his own lifetime, Hume was better known as a historian than as a philosopher. He wrote a six-volume history of England</w:t>
      </w:r>
      <w:r>
        <w:rPr>
          <w:rStyle w:val="FootnoteReference"/>
          <w:color w:val="000000" w:themeColor="text1"/>
        </w:rPr>
        <w:footnoteReference w:id="85"/>
      </w:r>
      <w:r>
        <w:rPr>
          <w:color w:val="000000" w:themeColor="text1"/>
        </w:rPr>
        <w:t xml:space="preserve"> between 1754 and </w:t>
      </w:r>
      <w:proofErr w:type="gramStart"/>
      <w:r>
        <w:rPr>
          <w:color w:val="000000" w:themeColor="text1"/>
        </w:rPr>
        <w:t>1761</w:t>
      </w:r>
      <w:r w:rsidR="00337FC2">
        <w:rPr>
          <w:color w:val="000000" w:themeColor="text1"/>
        </w:rPr>
        <w:t>, and</w:t>
      </w:r>
      <w:proofErr w:type="gramEnd"/>
      <w:r w:rsidR="00337FC2">
        <w:rPr>
          <w:color w:val="000000" w:themeColor="text1"/>
        </w:rPr>
        <w:t xml:space="preserve"> was a friend of both Benjamin Franklin and Jean-Jacques Rousseau, although Rousseau latterly fell into contention with him, alleging that he had plotted to undermine his character.</w:t>
      </w:r>
      <w:r w:rsidR="003D75A1">
        <w:rPr>
          <w:color w:val="000000" w:themeColor="text1"/>
        </w:rPr>
        <w:t xml:space="preserve"> Hume is widely credited with destroying the (Lockean) concept of a social contract, notably in his work, </w:t>
      </w:r>
      <w:r w:rsidR="003D75A1" w:rsidRPr="003D75A1">
        <w:rPr>
          <w:i/>
          <w:iCs/>
          <w:color w:val="000000" w:themeColor="text1"/>
        </w:rPr>
        <w:t>Of the Original Contract</w:t>
      </w:r>
      <w:r w:rsidR="003D75A1">
        <w:rPr>
          <w:color w:val="000000" w:themeColor="text1"/>
        </w:rPr>
        <w:t>.</w:t>
      </w:r>
      <w:r w:rsidR="003D75A1">
        <w:rPr>
          <w:rStyle w:val="FootnoteReference"/>
          <w:color w:val="000000" w:themeColor="text1"/>
        </w:rPr>
        <w:footnoteReference w:id="86"/>
      </w:r>
      <w:r w:rsidR="00850BF5">
        <w:rPr>
          <w:color w:val="000000" w:themeColor="text1"/>
        </w:rPr>
        <w:t xml:space="preserve"> He object</w:t>
      </w:r>
      <w:r w:rsidR="00894C60">
        <w:rPr>
          <w:color w:val="000000" w:themeColor="text1"/>
        </w:rPr>
        <w:t>ed</w:t>
      </w:r>
      <w:r w:rsidR="00850BF5">
        <w:rPr>
          <w:color w:val="000000" w:themeColor="text1"/>
        </w:rPr>
        <w:t xml:space="preserve"> to notions of tacit consent: many people might live under a particular government simply because they are unable to leave.</w:t>
      </w:r>
      <w:r w:rsidR="00E9319E">
        <w:rPr>
          <w:color w:val="000000" w:themeColor="text1"/>
        </w:rPr>
        <w:t xml:space="preserve"> Hume argued that government was most usually founded in violence (commonly because of a shortage of resources), a subject to which he frequently returns.</w:t>
      </w:r>
      <w:r w:rsidR="00E9319E">
        <w:rPr>
          <w:rStyle w:val="FootnoteReference"/>
          <w:color w:val="000000" w:themeColor="text1"/>
        </w:rPr>
        <w:footnoteReference w:id="87"/>
      </w:r>
    </w:p>
    <w:p w14:paraId="195E7791" w14:textId="581DADF2" w:rsidR="003A7278" w:rsidRDefault="003A7278" w:rsidP="00292683">
      <w:pPr>
        <w:autoSpaceDE w:val="0"/>
        <w:autoSpaceDN w:val="0"/>
        <w:adjustRightInd w:val="0"/>
        <w:spacing w:after="0" w:line="240" w:lineRule="auto"/>
        <w:ind w:right="-22"/>
        <w:jc w:val="both"/>
        <w:rPr>
          <w:color w:val="000000" w:themeColor="text1"/>
        </w:rPr>
      </w:pPr>
    </w:p>
    <w:p w14:paraId="05A70691" w14:textId="7B2172F5" w:rsidR="003A7278" w:rsidRDefault="00A50679" w:rsidP="00A50679">
      <w:pPr>
        <w:autoSpaceDE w:val="0"/>
        <w:autoSpaceDN w:val="0"/>
        <w:adjustRightInd w:val="0"/>
        <w:spacing w:after="0" w:line="240" w:lineRule="auto"/>
        <w:ind w:right="-22" w:firstLine="720"/>
        <w:jc w:val="both"/>
        <w:rPr>
          <w:color w:val="000000" w:themeColor="text1"/>
        </w:rPr>
      </w:pPr>
      <w:r>
        <w:rPr>
          <w:color w:val="000000" w:themeColor="text1"/>
        </w:rPr>
        <w:t xml:space="preserve">Without the benefit of a social contract theory, Hume relies on custom as an underlying rationale for the imposition of </w:t>
      </w:r>
      <w:proofErr w:type="gramStart"/>
      <w:r>
        <w:rPr>
          <w:color w:val="000000" w:themeColor="text1"/>
        </w:rPr>
        <w:t>taxation</w:t>
      </w:r>
      <w:r w:rsidR="00EA39AB">
        <w:rPr>
          <w:color w:val="000000" w:themeColor="text1"/>
        </w:rPr>
        <w:t>, but</w:t>
      </w:r>
      <w:proofErr w:type="gramEnd"/>
      <w:r w:rsidR="00EA39AB">
        <w:rPr>
          <w:color w:val="000000" w:themeColor="text1"/>
        </w:rPr>
        <w:t xml:space="preserve"> </w:t>
      </w:r>
      <w:r>
        <w:rPr>
          <w:color w:val="000000" w:themeColor="text1"/>
        </w:rPr>
        <w:t>does not outline any underlying theory. People deal with what exists: there is no need to speculate why something might exist. For example:</w:t>
      </w:r>
    </w:p>
    <w:p w14:paraId="718D3791" w14:textId="5199BA39" w:rsidR="00C73384" w:rsidRDefault="00C73384" w:rsidP="00C73384">
      <w:pPr>
        <w:autoSpaceDE w:val="0"/>
        <w:autoSpaceDN w:val="0"/>
        <w:adjustRightInd w:val="0"/>
        <w:spacing w:after="0" w:line="240" w:lineRule="auto"/>
        <w:ind w:right="-22"/>
        <w:jc w:val="both"/>
        <w:rPr>
          <w:color w:val="000000" w:themeColor="text1"/>
        </w:rPr>
      </w:pPr>
    </w:p>
    <w:p w14:paraId="5F5C6E11" w14:textId="0099E168" w:rsidR="00C73384" w:rsidRDefault="00C73384" w:rsidP="0039317A">
      <w:pPr>
        <w:autoSpaceDE w:val="0"/>
        <w:autoSpaceDN w:val="0"/>
        <w:adjustRightInd w:val="0"/>
        <w:spacing w:after="0" w:line="240" w:lineRule="auto"/>
        <w:ind w:left="720" w:right="686"/>
        <w:jc w:val="both"/>
      </w:pPr>
      <w:r w:rsidRPr="00C73384">
        <w:t>When a new government is established, by whatever means, the people are commonly dissatisfied with it, and pay obedience more from fear and necessity, than from any idea of allegiance or of moral … Time, by degrees, removes all these difficulties, and accustoms the nation to regard, as their lawful or native princes, that family, which, at first, they considered as usurpers or foreign conquerors.</w:t>
      </w:r>
      <w:r w:rsidRPr="00C73384">
        <w:rPr>
          <w:rStyle w:val="FootnoteReference"/>
        </w:rPr>
        <w:footnoteReference w:id="88"/>
      </w:r>
    </w:p>
    <w:p w14:paraId="2A68F83F" w14:textId="77777777" w:rsidR="0039317A" w:rsidRPr="00C73384" w:rsidRDefault="0039317A" w:rsidP="0039317A">
      <w:pPr>
        <w:autoSpaceDE w:val="0"/>
        <w:autoSpaceDN w:val="0"/>
        <w:adjustRightInd w:val="0"/>
        <w:spacing w:after="0" w:line="240" w:lineRule="auto"/>
        <w:ind w:right="686"/>
        <w:jc w:val="both"/>
      </w:pPr>
    </w:p>
    <w:p w14:paraId="77F7721E" w14:textId="2F5986DB" w:rsidR="00C73384" w:rsidRPr="0039317A" w:rsidRDefault="00C73384" w:rsidP="0039317A">
      <w:pPr>
        <w:autoSpaceDE w:val="0"/>
        <w:autoSpaceDN w:val="0"/>
        <w:adjustRightInd w:val="0"/>
        <w:spacing w:after="0" w:line="240" w:lineRule="auto"/>
        <w:ind w:right="-46" w:firstLine="720"/>
        <w:jc w:val="both"/>
      </w:pPr>
      <w:r w:rsidRPr="00C73384">
        <w:t xml:space="preserve">This may </w:t>
      </w:r>
      <w:r w:rsidRPr="0039317A">
        <w:t>go some way towards understanding</w:t>
      </w:r>
      <w:r w:rsidRPr="00C73384">
        <w:t xml:space="preserve"> Hume’s view of taxation </w:t>
      </w:r>
      <w:r w:rsidRPr="0039317A">
        <w:t xml:space="preserve">expounded </w:t>
      </w:r>
      <w:r w:rsidRPr="00C73384">
        <w:t xml:space="preserve">in his </w:t>
      </w:r>
      <w:r w:rsidRPr="0039317A">
        <w:t>work</w:t>
      </w:r>
      <w:r w:rsidRPr="00C73384">
        <w:t xml:space="preserve"> </w:t>
      </w:r>
      <w:r w:rsidRPr="00C73384">
        <w:rPr>
          <w:i/>
          <w:iCs/>
        </w:rPr>
        <w:t>Of Taxes</w:t>
      </w:r>
      <w:r w:rsidRPr="00C73384">
        <w:t>.</w:t>
      </w:r>
      <w:r w:rsidRPr="0039317A">
        <w:rPr>
          <w:rStyle w:val="FootnoteReference"/>
        </w:rPr>
        <w:footnoteReference w:id="89"/>
      </w:r>
      <w:r w:rsidRPr="00C73384">
        <w:t xml:space="preserve"> </w:t>
      </w:r>
      <w:r w:rsidR="00821224" w:rsidRPr="0039317A">
        <w:t>This is a purely practical work, albeit</w:t>
      </w:r>
      <w:r w:rsidR="0039317A" w:rsidRPr="0039317A">
        <w:t xml:space="preserve"> inconsistent</w:t>
      </w:r>
      <w:r w:rsidRPr="00C73384">
        <w:t>. Gribnau and Dijkstra</w:t>
      </w:r>
      <w:r w:rsidR="00894C60">
        <w:t>,</w:t>
      </w:r>
      <w:r w:rsidR="00821224" w:rsidRPr="0039317A">
        <w:rPr>
          <w:rStyle w:val="FootnoteReference"/>
        </w:rPr>
        <w:footnoteReference w:id="90"/>
      </w:r>
      <w:r w:rsidRPr="00C73384">
        <w:t xml:space="preserve"> </w:t>
      </w:r>
      <w:r w:rsidR="00894C60">
        <w:t xml:space="preserve">for instance, </w:t>
      </w:r>
      <w:r w:rsidRPr="00C73384">
        <w:t xml:space="preserve">comment that Hume’s ideas about taxation </w:t>
      </w:r>
      <w:r w:rsidR="00821224" w:rsidRPr="0039317A">
        <w:t>‘</w:t>
      </w:r>
      <w:r w:rsidRPr="00C73384">
        <w:t>resemble more an assemblage of separate thoughts than a consistent exposition on taxation</w:t>
      </w:r>
      <w:r w:rsidR="00821224" w:rsidRPr="0039317A">
        <w:t>’</w:t>
      </w:r>
      <w:r w:rsidRPr="00C73384">
        <w:t xml:space="preserve">. He </w:t>
      </w:r>
      <w:r w:rsidR="0039317A" w:rsidRPr="0039317A">
        <w:t xml:space="preserve">opines </w:t>
      </w:r>
      <w:proofErr w:type="gramStart"/>
      <w:r w:rsidR="0039317A" w:rsidRPr="0039317A">
        <w:t>that</w:t>
      </w:r>
      <w:r w:rsidRPr="00C73384">
        <w:t xml:space="preserve"> workers</w:t>
      </w:r>
      <w:proofErr w:type="gramEnd"/>
      <w:r w:rsidRPr="00C73384">
        <w:t xml:space="preserve"> should increase their labour to deal with any increase in taxation, </w:t>
      </w:r>
      <w:r w:rsidR="0039317A" w:rsidRPr="0039317A">
        <w:t>not</w:t>
      </w:r>
      <w:r w:rsidRPr="00C73384">
        <w:t xml:space="preserve"> seek higher wages</w:t>
      </w:r>
      <w:r w:rsidR="0039317A" w:rsidRPr="0039317A">
        <w:t xml:space="preserve">, in that </w:t>
      </w:r>
      <w:r w:rsidRPr="00C73384">
        <w:t>a man work</w:t>
      </w:r>
      <w:r w:rsidR="0039317A" w:rsidRPr="0039317A">
        <w:t>ing</w:t>
      </w:r>
      <w:r w:rsidRPr="00C73384">
        <w:t xml:space="preserve"> more will earn more. In </w:t>
      </w:r>
      <w:r w:rsidRPr="00C73384">
        <w:rPr>
          <w:i/>
          <w:iCs/>
        </w:rPr>
        <w:t>Of Taxes</w:t>
      </w:r>
      <w:r w:rsidRPr="00C73384">
        <w:t xml:space="preserve">, </w:t>
      </w:r>
      <w:r w:rsidR="0039317A" w:rsidRPr="0039317A">
        <w:t>Hume categorises</w:t>
      </w:r>
      <w:r w:rsidRPr="00C73384">
        <w:t xml:space="preserve"> taxes into consumption taxes, taxes on possessions and poll taxes</w:t>
      </w:r>
      <w:r w:rsidR="0039317A" w:rsidRPr="0039317A">
        <w:t>.</w:t>
      </w:r>
    </w:p>
    <w:p w14:paraId="13B7E2A5" w14:textId="77777777" w:rsidR="0039317A" w:rsidRPr="00C73384" w:rsidRDefault="0039317A" w:rsidP="0039317A">
      <w:pPr>
        <w:autoSpaceDE w:val="0"/>
        <w:autoSpaceDN w:val="0"/>
        <w:adjustRightInd w:val="0"/>
        <w:spacing w:after="0" w:line="240" w:lineRule="auto"/>
        <w:ind w:right="-46"/>
        <w:jc w:val="both"/>
      </w:pPr>
    </w:p>
    <w:p w14:paraId="6AE1D0F9" w14:textId="4781999B" w:rsidR="00C73384" w:rsidRPr="00F2194D" w:rsidRDefault="00C73384" w:rsidP="00F02159">
      <w:pPr>
        <w:autoSpaceDE w:val="0"/>
        <w:autoSpaceDN w:val="0"/>
        <w:adjustRightInd w:val="0"/>
        <w:spacing w:after="0" w:line="240" w:lineRule="auto"/>
        <w:ind w:right="-46" w:firstLine="720"/>
        <w:jc w:val="both"/>
      </w:pPr>
      <w:r w:rsidRPr="00C73384">
        <w:t xml:space="preserve">Hume </w:t>
      </w:r>
      <w:r w:rsidR="0039317A" w:rsidRPr="00F2194D">
        <w:t>notes</w:t>
      </w:r>
      <w:r w:rsidRPr="00C73384">
        <w:t xml:space="preserve"> that not all customs are beneficial, particularly in reference to taxation. </w:t>
      </w:r>
      <w:r w:rsidR="0039317A" w:rsidRPr="00F2194D">
        <w:t xml:space="preserve">Even </w:t>
      </w:r>
      <w:r w:rsidRPr="00C73384">
        <w:t xml:space="preserve">established governments, </w:t>
      </w:r>
      <w:r w:rsidR="0039317A" w:rsidRPr="00F2194D">
        <w:t>particularly</w:t>
      </w:r>
      <w:r w:rsidRPr="00C73384">
        <w:t xml:space="preserve"> monarchies, </w:t>
      </w:r>
      <w:r w:rsidR="0039317A" w:rsidRPr="00F2194D">
        <w:t>may</w:t>
      </w:r>
      <w:r w:rsidRPr="00C73384">
        <w:t xml:space="preserve"> degenerate </w:t>
      </w:r>
      <w:r w:rsidR="0039317A" w:rsidRPr="00F2194D">
        <w:t xml:space="preserve">owing to </w:t>
      </w:r>
      <w:r w:rsidRPr="00C73384">
        <w:t>exces</w:t>
      </w:r>
      <w:r w:rsidR="0039317A" w:rsidRPr="00F2194D">
        <w:t>s</w:t>
      </w:r>
      <w:r w:rsidRPr="00C73384">
        <w:t xml:space="preserve"> debts and taxes, </w:t>
      </w:r>
      <w:r w:rsidR="00F02159" w:rsidRPr="00F2194D">
        <w:t>using France as an example in</w:t>
      </w:r>
      <w:r w:rsidRPr="00C73384">
        <w:t xml:space="preserve"> </w:t>
      </w:r>
      <w:r w:rsidRPr="00C73384">
        <w:rPr>
          <w:i/>
          <w:iCs/>
        </w:rPr>
        <w:t>Of Civil Liberty</w:t>
      </w:r>
      <w:r w:rsidR="00EA39AB" w:rsidRPr="00EA39AB">
        <w:t>:</w:t>
      </w:r>
      <w:r w:rsidR="0039317A" w:rsidRPr="00F2194D">
        <w:rPr>
          <w:rStyle w:val="FootnoteReference"/>
        </w:rPr>
        <w:footnoteReference w:id="91"/>
      </w:r>
    </w:p>
    <w:p w14:paraId="7B8FD490" w14:textId="77777777" w:rsidR="00F02159" w:rsidRPr="00C73384" w:rsidRDefault="00F02159" w:rsidP="00F02159">
      <w:pPr>
        <w:autoSpaceDE w:val="0"/>
        <w:autoSpaceDN w:val="0"/>
        <w:adjustRightInd w:val="0"/>
        <w:spacing w:after="0" w:line="240" w:lineRule="auto"/>
        <w:ind w:right="-46"/>
        <w:jc w:val="both"/>
      </w:pPr>
    </w:p>
    <w:p w14:paraId="741AC5D5" w14:textId="57DA803D" w:rsidR="00C73384" w:rsidRPr="00F2194D" w:rsidRDefault="00C73384" w:rsidP="00F02159">
      <w:pPr>
        <w:autoSpaceDE w:val="0"/>
        <w:autoSpaceDN w:val="0"/>
        <w:adjustRightInd w:val="0"/>
        <w:spacing w:after="0" w:line="240" w:lineRule="auto"/>
        <w:ind w:left="720" w:right="686"/>
        <w:jc w:val="both"/>
      </w:pPr>
      <w:r w:rsidRPr="00C73384">
        <w:t>The greatest abuses … proceed not from the number or weight of taxes, beyond what are to be met with in free countries; but from the expensive, unequal, arbitrary, and intricate method of levying them, by which the industry of the poor, especially of peasants and farmers, is, in great measure, discouraged, and agriculture rendered as beggarly and slavish employment.</w:t>
      </w:r>
    </w:p>
    <w:p w14:paraId="74767B99" w14:textId="77777777" w:rsidR="00F02159" w:rsidRPr="00C73384" w:rsidRDefault="00F02159" w:rsidP="00F02159">
      <w:pPr>
        <w:autoSpaceDE w:val="0"/>
        <w:autoSpaceDN w:val="0"/>
        <w:adjustRightInd w:val="0"/>
        <w:spacing w:after="0" w:line="240" w:lineRule="auto"/>
        <w:ind w:right="686"/>
        <w:jc w:val="both"/>
      </w:pPr>
    </w:p>
    <w:p w14:paraId="42247371" w14:textId="409F0DD3" w:rsidR="00C73384" w:rsidRPr="00C73384" w:rsidRDefault="00C73384" w:rsidP="00C73384">
      <w:pPr>
        <w:autoSpaceDE w:val="0"/>
        <w:autoSpaceDN w:val="0"/>
        <w:adjustRightInd w:val="0"/>
        <w:spacing w:line="240" w:lineRule="auto"/>
        <w:ind w:right="-46" w:firstLine="720"/>
        <w:jc w:val="both"/>
      </w:pPr>
      <w:r w:rsidRPr="00C73384">
        <w:t>Hume does not offer recommendations for develop</w:t>
      </w:r>
      <w:r w:rsidR="00F02159" w:rsidRPr="00F2194D">
        <w:t>ment of a</w:t>
      </w:r>
      <w:r w:rsidRPr="00C73384">
        <w:t xml:space="preserve"> tax system, </w:t>
      </w:r>
      <w:r w:rsidR="00F02159" w:rsidRPr="00F2194D">
        <w:t>although he does show</w:t>
      </w:r>
      <w:r w:rsidRPr="00C73384">
        <w:t xml:space="preserve"> concern with the </w:t>
      </w:r>
      <w:r w:rsidR="00F02159" w:rsidRPr="00F2194D">
        <w:t xml:space="preserve">level of </w:t>
      </w:r>
      <w:r w:rsidRPr="00C73384">
        <w:t>public debt</w:t>
      </w:r>
      <w:r w:rsidR="005D1F2C" w:rsidRPr="00F2194D">
        <w:t>.</w:t>
      </w:r>
      <w:r w:rsidR="00F02159" w:rsidRPr="00F2194D">
        <w:rPr>
          <w:rStyle w:val="FootnoteReference"/>
        </w:rPr>
        <w:footnoteReference w:id="92"/>
      </w:r>
      <w:r w:rsidRPr="00C73384">
        <w:t xml:space="preserve"> </w:t>
      </w:r>
      <w:r w:rsidR="005D1F2C" w:rsidRPr="00F2194D">
        <w:t>He feels that</w:t>
      </w:r>
      <w:r w:rsidRPr="00C73384">
        <w:t xml:space="preserve"> luxury goods </w:t>
      </w:r>
      <w:r w:rsidR="005D1F2C" w:rsidRPr="00F2194D">
        <w:t>should be taxe</w:t>
      </w:r>
      <w:r w:rsidR="00851EB3">
        <w:t>d</w:t>
      </w:r>
      <w:r w:rsidR="005D1F2C" w:rsidRPr="00F2194D">
        <w:t xml:space="preserve"> </w:t>
      </w:r>
      <w:r w:rsidRPr="00C73384">
        <w:t xml:space="preserve">rather than the </w:t>
      </w:r>
      <w:r w:rsidR="005D1F2C" w:rsidRPr="00F2194D">
        <w:t>things</w:t>
      </w:r>
      <w:r w:rsidRPr="00C73384">
        <w:t xml:space="preserve"> </w:t>
      </w:r>
      <w:r w:rsidR="005D1F2C" w:rsidRPr="00F2194D">
        <w:t xml:space="preserve">needed in </w:t>
      </w:r>
      <w:r w:rsidRPr="00C73384">
        <w:t>daily life</w:t>
      </w:r>
      <w:r w:rsidR="005D1F2C" w:rsidRPr="00F2194D">
        <w:t>: there is no choice i</w:t>
      </w:r>
      <w:r w:rsidR="00851EB3">
        <w:t>n</w:t>
      </w:r>
      <w:r w:rsidR="005D1F2C" w:rsidRPr="00F2194D">
        <w:t xml:space="preserve"> buying the latter whereas there </w:t>
      </w:r>
      <w:proofErr w:type="gramStart"/>
      <w:r w:rsidR="005D1F2C" w:rsidRPr="00F2194D">
        <w:t>is</w:t>
      </w:r>
      <w:proofErr w:type="gramEnd"/>
      <w:r w:rsidR="005D1F2C" w:rsidRPr="00F2194D">
        <w:t xml:space="preserve"> </w:t>
      </w:r>
      <w:r w:rsidR="00F2194D" w:rsidRPr="00F2194D">
        <w:t>as regards luxuries.</w:t>
      </w:r>
    </w:p>
    <w:p w14:paraId="0B6D81A8" w14:textId="36D6E574" w:rsidR="00C73384" w:rsidRPr="00F2194D" w:rsidRDefault="00C73384" w:rsidP="00F2194D">
      <w:pPr>
        <w:autoSpaceDE w:val="0"/>
        <w:autoSpaceDN w:val="0"/>
        <w:adjustRightInd w:val="0"/>
        <w:spacing w:after="0" w:line="240" w:lineRule="auto"/>
        <w:ind w:left="720" w:right="686"/>
        <w:jc w:val="both"/>
      </w:pPr>
      <w:r w:rsidRPr="00C73384">
        <w:t xml:space="preserve">The best taxes are those which are levied on consumptions, especially those of luxury: because such taxes are least felt by the people. They seem to be, in some measure, voluntary; since a man may </w:t>
      </w:r>
      <w:proofErr w:type="spellStart"/>
      <w:r w:rsidRPr="00C73384">
        <w:t>chuse</w:t>
      </w:r>
      <w:proofErr w:type="spellEnd"/>
      <w:r w:rsidRPr="00C73384">
        <w:t xml:space="preserve"> how far he will use the commodity which is taxed: They are paid gradually and insensibly: They naturally produce sobriety and frugality, if judiciously imposed: And being confounded with the natural price of the commodity, they are scarcely perceived by the consumers. Their only disadvantage is, that they are expensive in the levying.</w:t>
      </w:r>
      <w:r w:rsidR="00F2194D" w:rsidRPr="00F2194D">
        <w:rPr>
          <w:rStyle w:val="FootnoteReference"/>
        </w:rPr>
        <w:footnoteReference w:id="93"/>
      </w:r>
    </w:p>
    <w:p w14:paraId="6D2D5E37" w14:textId="77777777" w:rsidR="00F2194D" w:rsidRPr="00C73384" w:rsidRDefault="00F2194D" w:rsidP="00F2194D">
      <w:pPr>
        <w:autoSpaceDE w:val="0"/>
        <w:autoSpaceDN w:val="0"/>
        <w:adjustRightInd w:val="0"/>
        <w:spacing w:after="0" w:line="240" w:lineRule="auto"/>
        <w:ind w:right="686"/>
        <w:jc w:val="both"/>
      </w:pPr>
    </w:p>
    <w:p w14:paraId="0313C813" w14:textId="30E232C4" w:rsidR="00C73384" w:rsidRPr="00AC6DD6" w:rsidRDefault="0060063A" w:rsidP="00AC6DD6">
      <w:pPr>
        <w:autoSpaceDE w:val="0"/>
        <w:autoSpaceDN w:val="0"/>
        <w:adjustRightInd w:val="0"/>
        <w:spacing w:after="0" w:line="240" w:lineRule="auto"/>
        <w:ind w:right="-46"/>
        <w:jc w:val="both"/>
      </w:pPr>
      <w:r w:rsidRPr="00AC6DD6">
        <w:t xml:space="preserve">Tax on consumption </w:t>
      </w:r>
      <w:r w:rsidR="00A004E7" w:rsidRPr="00AC6DD6">
        <w:t>was</w:t>
      </w:r>
      <w:r w:rsidRPr="00AC6DD6">
        <w:t xml:space="preserve"> convenient in terms of payment, although costly to levy. Hume </w:t>
      </w:r>
      <w:r w:rsidR="00EA39AB">
        <w:t xml:space="preserve">opposed </w:t>
      </w:r>
      <w:r w:rsidR="00C73384" w:rsidRPr="00C73384">
        <w:t>arbitrary taxes</w:t>
      </w:r>
      <w:r w:rsidRPr="00AC6DD6">
        <w:t>, as they were unfair and uncertain – and disagreed with Locke</w:t>
      </w:r>
      <w:r w:rsidR="00C73384" w:rsidRPr="00C73384">
        <w:t xml:space="preserve"> that all taxes would ultimately </w:t>
      </w:r>
      <w:r w:rsidRPr="00AC6DD6">
        <w:t>fall upon land</w:t>
      </w:r>
      <w:r w:rsidR="00C73384" w:rsidRPr="00C73384">
        <w:t>.</w:t>
      </w:r>
    </w:p>
    <w:p w14:paraId="12F3B1E3" w14:textId="77777777" w:rsidR="0060063A" w:rsidRPr="00C73384" w:rsidRDefault="0060063A" w:rsidP="0060063A">
      <w:pPr>
        <w:autoSpaceDE w:val="0"/>
        <w:autoSpaceDN w:val="0"/>
        <w:adjustRightInd w:val="0"/>
        <w:spacing w:after="0" w:line="240" w:lineRule="auto"/>
        <w:ind w:right="-46"/>
        <w:jc w:val="both"/>
      </w:pPr>
    </w:p>
    <w:p w14:paraId="28EF43AA" w14:textId="75D40E4B" w:rsidR="00C73384" w:rsidRPr="00C73384" w:rsidRDefault="00C73384" w:rsidP="00AC6DD6">
      <w:pPr>
        <w:autoSpaceDE w:val="0"/>
        <w:autoSpaceDN w:val="0"/>
        <w:adjustRightInd w:val="0"/>
        <w:spacing w:after="0" w:line="240" w:lineRule="auto"/>
        <w:ind w:left="720" w:right="686"/>
        <w:jc w:val="both"/>
      </w:pPr>
      <w:r w:rsidRPr="00C73384">
        <w:t xml:space="preserve">[T]he most pernicious of all taxes are the arbitrary. They are commonly converted, by their management, into punishments on industry; </w:t>
      </w:r>
      <w:proofErr w:type="gramStart"/>
      <w:r w:rsidRPr="00C73384">
        <w:t>and also</w:t>
      </w:r>
      <w:proofErr w:type="gramEnd"/>
      <w:r w:rsidRPr="00C73384">
        <w:t>, by their unavoidable inequality, are more grievous, therefore, than by the real burden they impose. It is surprising, therefore, to see them have place among any civilised people.</w:t>
      </w:r>
      <w:r w:rsidR="0060063A" w:rsidRPr="00AC6DD6">
        <w:rPr>
          <w:rStyle w:val="FootnoteReference"/>
        </w:rPr>
        <w:footnoteReference w:id="94"/>
      </w:r>
      <w:bookmarkStart w:id="7" w:name="_Hlk84860845"/>
    </w:p>
    <w:bookmarkEnd w:id="7"/>
    <w:p w14:paraId="149CB5D5" w14:textId="77777777" w:rsidR="00AC6DD6" w:rsidRPr="00AC6DD6" w:rsidRDefault="00AC6DD6" w:rsidP="00AC6DD6">
      <w:pPr>
        <w:autoSpaceDE w:val="0"/>
        <w:autoSpaceDN w:val="0"/>
        <w:adjustRightInd w:val="0"/>
        <w:spacing w:after="0" w:line="240" w:lineRule="auto"/>
        <w:ind w:right="-46"/>
        <w:jc w:val="both"/>
      </w:pPr>
    </w:p>
    <w:p w14:paraId="7E03A487" w14:textId="621D4755" w:rsidR="00C73384" w:rsidRPr="00C73384" w:rsidRDefault="00C73384" w:rsidP="00AC6DD6">
      <w:pPr>
        <w:autoSpaceDE w:val="0"/>
        <w:autoSpaceDN w:val="0"/>
        <w:adjustRightInd w:val="0"/>
        <w:spacing w:after="0" w:line="240" w:lineRule="auto"/>
        <w:ind w:right="-46"/>
        <w:jc w:val="both"/>
      </w:pPr>
      <w:r w:rsidRPr="00C73384">
        <w:t>Dome</w:t>
      </w:r>
      <w:r w:rsidR="00A004E7" w:rsidRPr="00AC6DD6">
        <w:rPr>
          <w:rStyle w:val="FootnoteReference"/>
        </w:rPr>
        <w:footnoteReference w:id="95"/>
      </w:r>
      <w:r w:rsidRPr="00C73384">
        <w:t xml:space="preserve"> comments</w:t>
      </w:r>
      <w:r w:rsidR="00AC6DD6" w:rsidRPr="00AC6DD6">
        <w:t xml:space="preserve"> that</w:t>
      </w:r>
      <w:r w:rsidRPr="00C73384">
        <w:t xml:space="preserve"> Hume left </w:t>
      </w:r>
      <w:r w:rsidR="00AC6DD6" w:rsidRPr="00AC6DD6">
        <w:t>‘</w:t>
      </w:r>
      <w:r w:rsidRPr="00C73384">
        <w:t>to future generations the problem of how to establish a system of public finance compatible with liberal and commercial society</w:t>
      </w:r>
      <w:r w:rsidR="00AC6DD6" w:rsidRPr="00AC6DD6">
        <w:t>’</w:t>
      </w:r>
      <w:r w:rsidRPr="00C73384">
        <w:t>.</w:t>
      </w:r>
    </w:p>
    <w:p w14:paraId="118A02FD" w14:textId="76A1550F" w:rsidR="00C73384" w:rsidRDefault="00C73384" w:rsidP="00AC6DD6">
      <w:pPr>
        <w:autoSpaceDE w:val="0"/>
        <w:autoSpaceDN w:val="0"/>
        <w:adjustRightInd w:val="0"/>
        <w:spacing w:after="0" w:line="240" w:lineRule="auto"/>
        <w:ind w:right="-22"/>
        <w:jc w:val="both"/>
        <w:rPr>
          <w:color w:val="000000" w:themeColor="text1"/>
        </w:rPr>
      </w:pPr>
    </w:p>
    <w:p w14:paraId="264926A6" w14:textId="1BA18378" w:rsidR="00C73384" w:rsidRDefault="00AC6DD6" w:rsidP="00AC6DD6">
      <w:pPr>
        <w:autoSpaceDE w:val="0"/>
        <w:autoSpaceDN w:val="0"/>
        <w:adjustRightInd w:val="0"/>
        <w:spacing w:after="0" w:line="240" w:lineRule="auto"/>
        <w:ind w:right="-22" w:firstLine="720"/>
        <w:jc w:val="both"/>
        <w:rPr>
          <w:color w:val="000000" w:themeColor="text1"/>
        </w:rPr>
      </w:pPr>
      <w:r>
        <w:rPr>
          <w:color w:val="000000" w:themeColor="text1"/>
        </w:rPr>
        <w:t xml:space="preserve">In terms of the taxes outlined above, we see </w:t>
      </w:r>
      <w:r w:rsidR="000765E6">
        <w:rPr>
          <w:color w:val="000000" w:themeColor="text1"/>
        </w:rPr>
        <w:t xml:space="preserve">mentioned </w:t>
      </w:r>
      <w:r>
        <w:rPr>
          <w:color w:val="000000" w:themeColor="text1"/>
        </w:rPr>
        <w:t>land taxes, taxes on commodities in the form of excises and customs</w:t>
      </w:r>
      <w:r w:rsidR="000765E6">
        <w:rPr>
          <w:color w:val="000000" w:themeColor="text1"/>
        </w:rPr>
        <w:t>,</w:t>
      </w:r>
      <w:r>
        <w:rPr>
          <w:color w:val="000000" w:themeColor="text1"/>
        </w:rPr>
        <w:t xml:space="preserve"> and poll taxes. As the earlier discussion makes clear, while the American colonists used such taxes, they had adapted them to their circumstances and had advanced beyond them in concept in the use of a faculty tax, implementing vertical equity </w:t>
      </w:r>
      <w:proofErr w:type="gramStart"/>
      <w:r>
        <w:rPr>
          <w:color w:val="000000" w:themeColor="text1"/>
        </w:rPr>
        <w:t>in regard to</w:t>
      </w:r>
      <w:proofErr w:type="gramEnd"/>
      <w:r>
        <w:rPr>
          <w:color w:val="000000" w:themeColor="text1"/>
        </w:rPr>
        <w:t xml:space="preserve"> a</w:t>
      </w:r>
      <w:r w:rsidR="00EA39AB">
        <w:rPr>
          <w:color w:val="000000" w:themeColor="text1"/>
        </w:rPr>
        <w:t>n</w:t>
      </w:r>
      <w:r>
        <w:rPr>
          <w:color w:val="000000" w:themeColor="text1"/>
        </w:rPr>
        <w:t xml:space="preserve"> ability to pay, and a near-proxy for an income tax.</w:t>
      </w:r>
    </w:p>
    <w:p w14:paraId="1E3D5176" w14:textId="316ADE8E" w:rsidR="00A733F1" w:rsidRDefault="00A733F1" w:rsidP="00A733F1">
      <w:pPr>
        <w:autoSpaceDE w:val="0"/>
        <w:autoSpaceDN w:val="0"/>
        <w:adjustRightInd w:val="0"/>
        <w:spacing w:after="0" w:line="240" w:lineRule="auto"/>
        <w:ind w:right="-22"/>
        <w:jc w:val="both"/>
        <w:rPr>
          <w:color w:val="000000" w:themeColor="text1"/>
        </w:rPr>
      </w:pPr>
    </w:p>
    <w:p w14:paraId="6BE8BA63" w14:textId="35142621" w:rsidR="00A733F1" w:rsidRDefault="00A733F1" w:rsidP="00A733F1">
      <w:pPr>
        <w:autoSpaceDE w:val="0"/>
        <w:autoSpaceDN w:val="0"/>
        <w:adjustRightInd w:val="0"/>
        <w:spacing w:after="0" w:line="240" w:lineRule="auto"/>
        <w:ind w:right="-22" w:firstLine="720"/>
        <w:jc w:val="both"/>
        <w:rPr>
          <w:color w:val="000000" w:themeColor="text1"/>
        </w:rPr>
      </w:pPr>
      <w:r>
        <w:rPr>
          <w:color w:val="000000" w:themeColor="text1"/>
        </w:rPr>
        <w:t>It is, perhaps, surprising that the work of Jean-Jacques Rousseau (1712–78) does not feature more prominently in the lists above reproduced from Lutz.</w:t>
      </w:r>
      <w:r>
        <w:rPr>
          <w:rStyle w:val="FootnoteReference"/>
          <w:color w:val="000000" w:themeColor="text1"/>
        </w:rPr>
        <w:footnoteReference w:id="96"/>
      </w:r>
      <w:r w:rsidR="00A0517C">
        <w:rPr>
          <w:color w:val="000000" w:themeColor="text1"/>
        </w:rPr>
        <w:t xml:space="preserve"> He was a noted social contract theorist, and as mentioned</w:t>
      </w:r>
      <w:r w:rsidR="00FF54AD">
        <w:rPr>
          <w:color w:val="000000" w:themeColor="text1"/>
        </w:rPr>
        <w:t>,</w:t>
      </w:r>
      <w:r w:rsidR="00A0517C">
        <w:rPr>
          <w:color w:val="000000" w:themeColor="text1"/>
        </w:rPr>
        <w:t xml:space="preserve"> was known to Hume and Franklin, and had much to say on taxation.</w:t>
      </w:r>
      <w:r w:rsidR="00A0517C">
        <w:rPr>
          <w:rStyle w:val="FootnoteReference"/>
          <w:color w:val="000000" w:themeColor="text1"/>
        </w:rPr>
        <w:footnoteReference w:id="97"/>
      </w:r>
    </w:p>
    <w:p w14:paraId="138F27DB" w14:textId="75F8B26E" w:rsidR="00A0517C" w:rsidRDefault="00A0517C" w:rsidP="00A0517C">
      <w:pPr>
        <w:autoSpaceDE w:val="0"/>
        <w:autoSpaceDN w:val="0"/>
        <w:adjustRightInd w:val="0"/>
        <w:spacing w:after="0" w:line="240" w:lineRule="auto"/>
        <w:ind w:right="-22"/>
        <w:jc w:val="both"/>
        <w:rPr>
          <w:color w:val="000000" w:themeColor="text1"/>
        </w:rPr>
      </w:pPr>
    </w:p>
    <w:p w14:paraId="60E216CD" w14:textId="5C91A597" w:rsidR="00A0517C" w:rsidRDefault="00A0517C" w:rsidP="00A0517C">
      <w:pPr>
        <w:autoSpaceDE w:val="0"/>
        <w:autoSpaceDN w:val="0"/>
        <w:adjustRightInd w:val="0"/>
        <w:spacing w:after="0" w:line="240" w:lineRule="auto"/>
        <w:ind w:right="-22"/>
        <w:jc w:val="both"/>
        <w:rPr>
          <w:color w:val="000000" w:themeColor="text1"/>
        </w:rPr>
      </w:pPr>
    </w:p>
    <w:p w14:paraId="5A8A7A01" w14:textId="36276970" w:rsidR="00A0517C" w:rsidRDefault="00A0517C" w:rsidP="00A0517C">
      <w:pPr>
        <w:autoSpaceDE w:val="0"/>
        <w:autoSpaceDN w:val="0"/>
        <w:adjustRightInd w:val="0"/>
        <w:spacing w:after="0" w:line="240" w:lineRule="auto"/>
        <w:ind w:right="-22"/>
        <w:jc w:val="center"/>
        <w:rPr>
          <w:color w:val="000000" w:themeColor="text1"/>
        </w:rPr>
      </w:pPr>
      <w:r>
        <w:rPr>
          <w:color w:val="000000" w:themeColor="text1"/>
        </w:rPr>
        <w:t>CONSTITUTIONAL DEBATE</w:t>
      </w:r>
    </w:p>
    <w:p w14:paraId="385C86C0" w14:textId="580058EA" w:rsidR="00A0517C" w:rsidRDefault="00A0517C" w:rsidP="00A0517C">
      <w:pPr>
        <w:autoSpaceDE w:val="0"/>
        <w:autoSpaceDN w:val="0"/>
        <w:adjustRightInd w:val="0"/>
        <w:spacing w:after="0" w:line="240" w:lineRule="auto"/>
        <w:ind w:right="-22"/>
        <w:jc w:val="both"/>
        <w:rPr>
          <w:color w:val="000000" w:themeColor="text1"/>
        </w:rPr>
      </w:pPr>
    </w:p>
    <w:p w14:paraId="205FE47F" w14:textId="176915EB" w:rsidR="00A460E4" w:rsidRDefault="000D54CC" w:rsidP="00A0517C">
      <w:pPr>
        <w:autoSpaceDE w:val="0"/>
        <w:autoSpaceDN w:val="0"/>
        <w:adjustRightInd w:val="0"/>
        <w:spacing w:after="0" w:line="240" w:lineRule="auto"/>
        <w:ind w:right="-22"/>
        <w:jc w:val="both"/>
        <w:rPr>
          <w:color w:val="000000" w:themeColor="text1"/>
        </w:rPr>
      </w:pPr>
      <w:r>
        <w:rPr>
          <w:color w:val="000000" w:themeColor="text1"/>
        </w:rPr>
        <w:t>The US Constitution, as ratified in 1788</w:t>
      </w:r>
      <w:r w:rsidR="00B853C5">
        <w:rPr>
          <w:color w:val="000000" w:themeColor="text1"/>
        </w:rPr>
        <w:t>,</w:t>
      </w:r>
      <w:r>
        <w:rPr>
          <w:color w:val="000000" w:themeColor="text1"/>
        </w:rPr>
        <w:t xml:space="preserve"> contains the following taxing powers</w:t>
      </w:r>
      <w:r w:rsidR="00B853C5">
        <w:rPr>
          <w:color w:val="000000" w:themeColor="text1"/>
        </w:rPr>
        <w:t>:</w:t>
      </w:r>
      <w:r w:rsidR="00B853C5">
        <w:rPr>
          <w:rStyle w:val="FootnoteReference"/>
          <w:color w:val="000000" w:themeColor="text1"/>
        </w:rPr>
        <w:footnoteReference w:id="98"/>
      </w:r>
    </w:p>
    <w:p w14:paraId="16045CE8" w14:textId="77777777" w:rsidR="000D54CC" w:rsidRDefault="000D54CC" w:rsidP="00A0517C">
      <w:pPr>
        <w:autoSpaceDE w:val="0"/>
        <w:autoSpaceDN w:val="0"/>
        <w:adjustRightInd w:val="0"/>
        <w:spacing w:after="0" w:line="240" w:lineRule="auto"/>
        <w:ind w:right="-22"/>
        <w:jc w:val="both"/>
        <w:rPr>
          <w:color w:val="000000" w:themeColor="text1"/>
        </w:rPr>
      </w:pPr>
    </w:p>
    <w:p w14:paraId="34E301FD" w14:textId="2CB88F7F" w:rsidR="007F55A3" w:rsidRDefault="00B853C5" w:rsidP="00A64FED">
      <w:pPr>
        <w:autoSpaceDE w:val="0"/>
        <w:autoSpaceDN w:val="0"/>
        <w:adjustRightInd w:val="0"/>
        <w:spacing w:after="0" w:line="240" w:lineRule="auto"/>
        <w:ind w:left="720" w:right="662"/>
        <w:jc w:val="both"/>
      </w:pPr>
      <w:r>
        <w:rPr>
          <w:sz w:val="23"/>
          <w:szCs w:val="23"/>
        </w:rPr>
        <w:t>The Congress shall have Power To lay and collect Taxes, Duties, Imposts and Excises, to pay the Debts and provide for the common Defence and general Welfare of the United</w:t>
      </w:r>
      <w:r w:rsidR="007F55A3">
        <w:rPr>
          <w:sz w:val="23"/>
          <w:szCs w:val="23"/>
        </w:rPr>
        <w:t xml:space="preserve"> </w:t>
      </w:r>
      <w:r>
        <w:rPr>
          <w:sz w:val="23"/>
          <w:szCs w:val="23"/>
        </w:rPr>
        <w:t>States; but all Duties, Imposts and Excises shall be uniform throughout the United States</w:t>
      </w:r>
      <w:r w:rsidR="00A460E4">
        <w:t>.</w:t>
      </w:r>
      <w:r>
        <w:rPr>
          <w:rStyle w:val="FootnoteReference"/>
        </w:rPr>
        <w:footnoteReference w:id="99"/>
      </w:r>
    </w:p>
    <w:p w14:paraId="5EEA80EF" w14:textId="77777777" w:rsidR="007F55A3" w:rsidRDefault="007F55A3" w:rsidP="007F55A3">
      <w:pPr>
        <w:autoSpaceDE w:val="0"/>
        <w:autoSpaceDN w:val="0"/>
        <w:adjustRightInd w:val="0"/>
        <w:spacing w:after="0" w:line="240" w:lineRule="auto"/>
      </w:pPr>
    </w:p>
    <w:p w14:paraId="3C3BBF72" w14:textId="2592BF50" w:rsidR="007F55A3" w:rsidRDefault="007F55A3" w:rsidP="00A64FED">
      <w:pPr>
        <w:autoSpaceDE w:val="0"/>
        <w:autoSpaceDN w:val="0"/>
        <w:adjustRightInd w:val="0"/>
        <w:spacing w:after="0" w:line="240" w:lineRule="auto"/>
        <w:ind w:left="720" w:right="662"/>
        <w:jc w:val="both"/>
      </w:pPr>
      <w:r>
        <w:t>No capitation, or other direct tax shall be laid, unless in proportion to the census or enumeration herein before directed to be taken.</w:t>
      </w:r>
      <w:r>
        <w:rPr>
          <w:rStyle w:val="FootnoteReference"/>
        </w:rPr>
        <w:footnoteReference w:id="100"/>
      </w:r>
    </w:p>
    <w:p w14:paraId="33DC4D6B" w14:textId="77777777" w:rsidR="007F55A3" w:rsidRDefault="007F55A3" w:rsidP="00A64FED">
      <w:pPr>
        <w:autoSpaceDE w:val="0"/>
        <w:autoSpaceDN w:val="0"/>
        <w:adjustRightInd w:val="0"/>
        <w:spacing w:after="0" w:line="240" w:lineRule="auto"/>
      </w:pPr>
    </w:p>
    <w:p w14:paraId="5E634E43" w14:textId="6E4733A2" w:rsidR="007F55A3" w:rsidRDefault="007F55A3" w:rsidP="00A64FED">
      <w:pPr>
        <w:autoSpaceDE w:val="0"/>
        <w:autoSpaceDN w:val="0"/>
        <w:adjustRightInd w:val="0"/>
        <w:spacing w:after="0" w:line="240" w:lineRule="auto"/>
        <w:ind w:left="720" w:right="662"/>
        <w:jc w:val="both"/>
      </w:pPr>
      <w:r>
        <w:t>No tax or duty shall be laid on articles exported from any State.</w:t>
      </w:r>
      <w:r>
        <w:rPr>
          <w:rStyle w:val="FootnoteReference"/>
        </w:rPr>
        <w:footnoteReference w:id="101"/>
      </w:r>
    </w:p>
    <w:p w14:paraId="545452FA" w14:textId="42002AD8" w:rsidR="00A460E4" w:rsidRDefault="00A460E4" w:rsidP="00A0517C">
      <w:pPr>
        <w:autoSpaceDE w:val="0"/>
        <w:autoSpaceDN w:val="0"/>
        <w:adjustRightInd w:val="0"/>
        <w:spacing w:after="0" w:line="240" w:lineRule="auto"/>
        <w:ind w:right="-22"/>
        <w:jc w:val="both"/>
        <w:rPr>
          <w:color w:val="000000" w:themeColor="text1"/>
        </w:rPr>
      </w:pPr>
    </w:p>
    <w:p w14:paraId="1B787B22" w14:textId="2DA43D29" w:rsidR="00A460E4" w:rsidRDefault="00A64FED" w:rsidP="00A0517C">
      <w:pPr>
        <w:autoSpaceDE w:val="0"/>
        <w:autoSpaceDN w:val="0"/>
        <w:adjustRightInd w:val="0"/>
        <w:spacing w:after="0" w:line="240" w:lineRule="auto"/>
        <w:ind w:right="-22"/>
        <w:jc w:val="both"/>
        <w:rPr>
          <w:color w:val="000000" w:themeColor="text1"/>
        </w:rPr>
      </w:pPr>
      <w:r>
        <w:rPr>
          <w:color w:val="000000" w:themeColor="text1"/>
        </w:rPr>
        <w:t xml:space="preserve">In terms of tax, </w:t>
      </w:r>
      <w:r w:rsidR="0035772A">
        <w:rPr>
          <w:color w:val="000000" w:themeColor="text1"/>
        </w:rPr>
        <w:t xml:space="preserve">the Constitution </w:t>
      </w:r>
      <w:r>
        <w:rPr>
          <w:color w:val="000000" w:themeColor="text1"/>
        </w:rPr>
        <w:t>has only been amended once, by means of the Sixteenth Amendment (passed by Congress in 1909, and ratified in 1913)</w:t>
      </w:r>
      <w:r w:rsidR="00A533DA">
        <w:rPr>
          <w:color w:val="000000" w:themeColor="text1"/>
        </w:rPr>
        <w:t>, which allowed income tax to be levied without being apportioned</w:t>
      </w:r>
      <w:r w:rsidR="00851EB3">
        <w:rPr>
          <w:color w:val="000000" w:themeColor="text1"/>
        </w:rPr>
        <w:t xml:space="preserve"> to individual states, and so retained by central government</w:t>
      </w:r>
      <w:r w:rsidR="00A533DA">
        <w:rPr>
          <w:color w:val="000000" w:themeColor="text1"/>
        </w:rPr>
        <w:t xml:space="preserve">, thus removing the second item above. The amendment was in direct response to the 1895 Supreme Court case </w:t>
      </w:r>
      <w:r w:rsidR="0035772A">
        <w:rPr>
          <w:color w:val="000000" w:themeColor="text1"/>
        </w:rPr>
        <w:t>decision in</w:t>
      </w:r>
      <w:r w:rsidR="00A533DA">
        <w:rPr>
          <w:color w:val="000000" w:themeColor="text1"/>
        </w:rPr>
        <w:t xml:space="preserve"> </w:t>
      </w:r>
      <w:r w:rsidR="00A533DA" w:rsidRPr="00A533DA">
        <w:rPr>
          <w:i/>
          <w:iCs/>
          <w:color w:val="000000" w:themeColor="text1"/>
        </w:rPr>
        <w:t>Pollock v Farmers’ Loan &amp; Trust Co</w:t>
      </w:r>
      <w:r w:rsidR="00A533DA">
        <w:rPr>
          <w:color w:val="000000" w:themeColor="text1"/>
        </w:rPr>
        <w:t>.</w:t>
      </w:r>
      <w:r w:rsidR="00A533DA">
        <w:rPr>
          <w:rStyle w:val="FootnoteReference"/>
          <w:color w:val="000000" w:themeColor="text1"/>
        </w:rPr>
        <w:footnoteReference w:id="102"/>
      </w:r>
    </w:p>
    <w:p w14:paraId="62B074B2" w14:textId="2679C960" w:rsidR="00A460E4" w:rsidRDefault="00A460E4" w:rsidP="00A0517C">
      <w:pPr>
        <w:autoSpaceDE w:val="0"/>
        <w:autoSpaceDN w:val="0"/>
        <w:adjustRightInd w:val="0"/>
        <w:spacing w:after="0" w:line="240" w:lineRule="auto"/>
        <w:ind w:right="-22"/>
        <w:jc w:val="both"/>
        <w:rPr>
          <w:color w:val="000000" w:themeColor="text1"/>
        </w:rPr>
      </w:pPr>
    </w:p>
    <w:p w14:paraId="2DEB887F" w14:textId="70C25E3E" w:rsidR="00A0517C" w:rsidRDefault="00094043" w:rsidP="0076435B">
      <w:pPr>
        <w:autoSpaceDE w:val="0"/>
        <w:autoSpaceDN w:val="0"/>
        <w:adjustRightInd w:val="0"/>
        <w:spacing w:after="0" w:line="240" w:lineRule="auto"/>
        <w:ind w:right="-22" w:firstLine="720"/>
        <w:jc w:val="both"/>
        <w:rPr>
          <w:color w:val="000000" w:themeColor="text1"/>
        </w:rPr>
      </w:pPr>
      <w:r>
        <w:rPr>
          <w:color w:val="000000" w:themeColor="text1"/>
        </w:rPr>
        <w:t>These powers loo</w:t>
      </w:r>
      <w:r w:rsidR="0076435B">
        <w:rPr>
          <w:color w:val="000000" w:themeColor="text1"/>
        </w:rPr>
        <w:t>k</w:t>
      </w:r>
      <w:r>
        <w:rPr>
          <w:color w:val="000000" w:themeColor="text1"/>
        </w:rPr>
        <w:t xml:space="preserve"> remarkably straightforward and have been </w:t>
      </w:r>
      <w:proofErr w:type="gramStart"/>
      <w:r>
        <w:rPr>
          <w:color w:val="000000" w:themeColor="text1"/>
        </w:rPr>
        <w:t>long-lasting, but</w:t>
      </w:r>
      <w:proofErr w:type="gramEnd"/>
      <w:r>
        <w:rPr>
          <w:color w:val="000000" w:themeColor="text1"/>
        </w:rPr>
        <w:t xml:space="preserve"> </w:t>
      </w:r>
      <w:r w:rsidR="0076435B">
        <w:rPr>
          <w:color w:val="000000" w:themeColor="text1"/>
        </w:rPr>
        <w:t xml:space="preserve">hide the considerable debate that took place about them – captured </w:t>
      </w:r>
      <w:r w:rsidR="00A621E5">
        <w:rPr>
          <w:color w:val="000000" w:themeColor="text1"/>
        </w:rPr>
        <w:t xml:space="preserve">in </w:t>
      </w:r>
      <w:r w:rsidR="00A621E5" w:rsidRPr="00A621E5">
        <w:rPr>
          <w:i/>
          <w:iCs/>
          <w:color w:val="000000" w:themeColor="text1"/>
        </w:rPr>
        <w:t>The Federalist Papers</w:t>
      </w:r>
      <w:r w:rsidR="00A621E5">
        <w:rPr>
          <w:color w:val="000000" w:themeColor="text1"/>
        </w:rPr>
        <w:t xml:space="preserve"> and </w:t>
      </w:r>
      <w:r w:rsidR="00A621E5" w:rsidRPr="00A621E5">
        <w:rPr>
          <w:i/>
          <w:iCs/>
          <w:color w:val="000000" w:themeColor="text1"/>
        </w:rPr>
        <w:t>The Anti-Federalist Papers</w:t>
      </w:r>
      <w:r w:rsidR="00A621E5">
        <w:rPr>
          <w:color w:val="000000" w:themeColor="text1"/>
        </w:rPr>
        <w:t>.</w:t>
      </w:r>
      <w:r w:rsidR="0016483D">
        <w:rPr>
          <w:color w:val="000000" w:themeColor="text1"/>
        </w:rPr>
        <w:t xml:space="preserve"> </w:t>
      </w:r>
      <w:r w:rsidR="0016483D" w:rsidRPr="0016483D">
        <w:rPr>
          <w:i/>
          <w:iCs/>
          <w:color w:val="000000" w:themeColor="text1"/>
        </w:rPr>
        <w:t>The Federalist Papers</w:t>
      </w:r>
      <w:r w:rsidR="0016483D">
        <w:rPr>
          <w:color w:val="000000" w:themeColor="text1"/>
        </w:rPr>
        <w:t xml:space="preserve"> comprise various essays and articles composed by the Founding Fathers James Madison, Alexander Hamilton and John Jay. They were published collectively under the pseudonym ‘Publius’, with the objective of promoting acceptance of the </w:t>
      </w:r>
      <w:r w:rsidR="00E545C7">
        <w:rPr>
          <w:color w:val="000000" w:themeColor="text1"/>
        </w:rPr>
        <w:t xml:space="preserve">Constitution </w:t>
      </w:r>
      <w:r w:rsidR="00BC3BEE">
        <w:rPr>
          <w:color w:val="000000" w:themeColor="text1"/>
        </w:rPr>
        <w:t xml:space="preserve">that had been </w:t>
      </w:r>
      <w:r w:rsidR="00E545C7">
        <w:rPr>
          <w:color w:val="000000" w:themeColor="text1"/>
        </w:rPr>
        <w:t>developed in 1787</w:t>
      </w:r>
      <w:r w:rsidR="00BB252A">
        <w:rPr>
          <w:color w:val="000000" w:themeColor="text1"/>
        </w:rPr>
        <w:t>, and of explaining and justifying the p</w:t>
      </w:r>
      <w:r w:rsidR="001A6C02">
        <w:rPr>
          <w:color w:val="000000" w:themeColor="text1"/>
        </w:rPr>
        <w:t>r</w:t>
      </w:r>
      <w:r w:rsidR="00BB252A">
        <w:rPr>
          <w:color w:val="000000" w:themeColor="text1"/>
        </w:rPr>
        <w:t>inciples underlying it</w:t>
      </w:r>
      <w:r w:rsidR="00E545C7">
        <w:rPr>
          <w:color w:val="000000" w:themeColor="text1"/>
        </w:rPr>
        <w:t xml:space="preserve">. The pseudonym was employed to stress that the </w:t>
      </w:r>
      <w:r w:rsidR="00DA13E1">
        <w:rPr>
          <w:color w:val="000000" w:themeColor="text1"/>
        </w:rPr>
        <w:t>ideas expressed were more important tha</w:t>
      </w:r>
      <w:r w:rsidR="00FF54AD">
        <w:rPr>
          <w:color w:val="000000" w:themeColor="text1"/>
        </w:rPr>
        <w:t>n</w:t>
      </w:r>
      <w:r w:rsidR="00DA13E1">
        <w:rPr>
          <w:color w:val="000000" w:themeColor="text1"/>
        </w:rPr>
        <w:t xml:space="preserve"> the identity of </w:t>
      </w:r>
      <w:r w:rsidR="00E545C7">
        <w:rPr>
          <w:color w:val="000000" w:themeColor="text1"/>
        </w:rPr>
        <w:t>individual w</w:t>
      </w:r>
      <w:r w:rsidR="00DA13E1">
        <w:rPr>
          <w:color w:val="000000" w:themeColor="text1"/>
        </w:rPr>
        <w:t xml:space="preserve">riters, although attribution of </w:t>
      </w:r>
      <w:r w:rsidR="00BB252A">
        <w:rPr>
          <w:color w:val="000000" w:themeColor="text1"/>
        </w:rPr>
        <w:t>papers to specific writers has been made</w:t>
      </w:r>
      <w:r w:rsidR="0016483D">
        <w:rPr>
          <w:color w:val="000000" w:themeColor="text1"/>
        </w:rPr>
        <w:t xml:space="preserve">. </w:t>
      </w:r>
      <w:r w:rsidR="00BB252A">
        <w:rPr>
          <w:color w:val="000000" w:themeColor="text1"/>
        </w:rPr>
        <w:t xml:space="preserve">Crucial and contentious matters were the </w:t>
      </w:r>
      <w:r w:rsidR="0016483D">
        <w:rPr>
          <w:color w:val="000000" w:themeColor="text1"/>
        </w:rPr>
        <w:t>separation of powers between the judiciary, the legislature and the executive, and the concept of federalism</w:t>
      </w:r>
      <w:r w:rsidR="00BB252A">
        <w:rPr>
          <w:color w:val="000000" w:themeColor="text1"/>
        </w:rPr>
        <w:t>, not least in relation to taxation</w:t>
      </w:r>
      <w:r w:rsidR="0016483D">
        <w:rPr>
          <w:color w:val="000000" w:themeColor="text1"/>
        </w:rPr>
        <w:t>.</w:t>
      </w:r>
    </w:p>
    <w:p w14:paraId="1ACD8A22" w14:textId="5A38F552" w:rsidR="00A0517C" w:rsidRDefault="00A0517C" w:rsidP="00A0517C">
      <w:pPr>
        <w:autoSpaceDE w:val="0"/>
        <w:autoSpaceDN w:val="0"/>
        <w:adjustRightInd w:val="0"/>
        <w:spacing w:after="0" w:line="240" w:lineRule="auto"/>
        <w:ind w:right="-22"/>
        <w:jc w:val="both"/>
        <w:rPr>
          <w:color w:val="000000" w:themeColor="text1"/>
        </w:rPr>
      </w:pPr>
    </w:p>
    <w:p w14:paraId="01E23316" w14:textId="55F17930" w:rsidR="00F96707" w:rsidRDefault="00546E1B" w:rsidP="00663FDA">
      <w:pPr>
        <w:autoSpaceDE w:val="0"/>
        <w:autoSpaceDN w:val="0"/>
        <w:adjustRightInd w:val="0"/>
        <w:spacing w:after="0" w:line="240" w:lineRule="auto"/>
        <w:ind w:right="-22" w:firstLine="720"/>
        <w:jc w:val="both"/>
        <w:rPr>
          <w:color w:val="000000" w:themeColor="text1"/>
        </w:rPr>
      </w:pPr>
      <w:r>
        <w:rPr>
          <w:color w:val="000000" w:themeColor="text1"/>
        </w:rPr>
        <w:t xml:space="preserve">Numbers 30 through to 36 of </w:t>
      </w:r>
      <w:r w:rsidRPr="00546E1B">
        <w:rPr>
          <w:i/>
          <w:iCs/>
          <w:color w:val="000000" w:themeColor="text1"/>
        </w:rPr>
        <w:t>The Federalist Papers</w:t>
      </w:r>
      <w:r>
        <w:rPr>
          <w:color w:val="000000" w:themeColor="text1"/>
        </w:rPr>
        <w:t>, written by Alexander Hamilton</w:t>
      </w:r>
      <w:r w:rsidR="00582339">
        <w:rPr>
          <w:color w:val="000000" w:themeColor="text1"/>
        </w:rPr>
        <w:t>, are about taxation. Hamilton wanted to persuade readers that there should be a general power of taxation granted at national level, in other words, federal taxation. This was needed to fund the provision of public requirements</w:t>
      </w:r>
      <w:r w:rsidR="00F96707">
        <w:rPr>
          <w:color w:val="000000" w:themeColor="text1"/>
        </w:rPr>
        <w:t>, such as:</w:t>
      </w:r>
    </w:p>
    <w:p w14:paraId="5748B86C" w14:textId="77777777" w:rsidR="00F96707" w:rsidRDefault="00F96707" w:rsidP="00F96707">
      <w:pPr>
        <w:autoSpaceDE w:val="0"/>
        <w:autoSpaceDN w:val="0"/>
        <w:adjustRightInd w:val="0"/>
        <w:spacing w:after="0" w:line="240" w:lineRule="auto"/>
        <w:ind w:right="-22"/>
        <w:jc w:val="both"/>
        <w:rPr>
          <w:color w:val="000000" w:themeColor="text1"/>
        </w:rPr>
      </w:pPr>
    </w:p>
    <w:p w14:paraId="452CF8B4" w14:textId="194FC826" w:rsidR="00F96707" w:rsidRDefault="00F96707" w:rsidP="00F96707">
      <w:pPr>
        <w:autoSpaceDE w:val="0"/>
        <w:autoSpaceDN w:val="0"/>
        <w:adjustRightInd w:val="0"/>
        <w:spacing w:after="0" w:line="240" w:lineRule="auto"/>
        <w:ind w:left="720" w:right="662"/>
        <w:jc w:val="both"/>
        <w:rPr>
          <w:color w:val="000000" w:themeColor="text1"/>
        </w:rPr>
      </w:pPr>
      <w:r>
        <w:t xml:space="preserve">… the expense of raising troops, of building and equipping fleets, and all other expenses in any wise connected with military arrangements and operations. But these are not the only objects to which the jurisdiction of the Union, in respect to revenue, must necessarily be empowered to extend. It must embrace a provision for the support of the national civil list; for the payment of the national debts contracted, or that may be contracted; and, in general, for all those matters which will call for disbursements out of the national treasury. The conclusion </w:t>
      </w:r>
      <w:proofErr w:type="gramStart"/>
      <w:r>
        <w:t>is,</w:t>
      </w:r>
      <w:proofErr w:type="gramEnd"/>
      <w:r>
        <w:t xml:space="preserve"> that there must be interwoven, in the frame of the government, a general power of taxation, in one shape or another.</w:t>
      </w:r>
      <w:r>
        <w:rPr>
          <w:rStyle w:val="FootnoteReference"/>
        </w:rPr>
        <w:footnoteReference w:id="103"/>
      </w:r>
    </w:p>
    <w:p w14:paraId="5BCFE4C3" w14:textId="77777777" w:rsidR="00F96707" w:rsidRDefault="00F96707" w:rsidP="00F96707">
      <w:pPr>
        <w:autoSpaceDE w:val="0"/>
        <w:autoSpaceDN w:val="0"/>
        <w:adjustRightInd w:val="0"/>
        <w:spacing w:after="0" w:line="240" w:lineRule="auto"/>
        <w:ind w:right="-22"/>
        <w:jc w:val="both"/>
        <w:rPr>
          <w:color w:val="000000" w:themeColor="text1"/>
        </w:rPr>
      </w:pPr>
    </w:p>
    <w:p w14:paraId="5D90E40B" w14:textId="250CBC6C" w:rsidR="002B2404" w:rsidRDefault="00582339" w:rsidP="008A0C10">
      <w:pPr>
        <w:autoSpaceDE w:val="0"/>
        <w:autoSpaceDN w:val="0"/>
        <w:adjustRightInd w:val="0"/>
        <w:spacing w:after="0" w:line="240" w:lineRule="auto"/>
        <w:jc w:val="both"/>
        <w:rPr>
          <w:color w:val="000000" w:themeColor="text1"/>
        </w:rPr>
      </w:pPr>
      <w:r>
        <w:rPr>
          <w:color w:val="000000" w:themeColor="text1"/>
        </w:rPr>
        <w:t>Hamilton return</w:t>
      </w:r>
      <w:r w:rsidR="00DC4A03">
        <w:rPr>
          <w:color w:val="000000" w:themeColor="text1"/>
        </w:rPr>
        <w:t>s</w:t>
      </w:r>
      <w:r w:rsidR="00F96707">
        <w:rPr>
          <w:color w:val="000000" w:themeColor="text1"/>
        </w:rPr>
        <w:t xml:space="preserve"> to these ideas in</w:t>
      </w:r>
      <w:r>
        <w:rPr>
          <w:color w:val="000000" w:themeColor="text1"/>
        </w:rPr>
        <w:t xml:space="preserve"> other papers</w:t>
      </w:r>
      <w:r w:rsidR="000C3A5A">
        <w:rPr>
          <w:color w:val="000000" w:themeColor="text1"/>
        </w:rPr>
        <w:t>,</w:t>
      </w:r>
      <w:r w:rsidR="00F96707">
        <w:rPr>
          <w:color w:val="000000" w:themeColor="text1"/>
        </w:rPr>
        <w:t xml:space="preserve"> for example, Number 31</w:t>
      </w:r>
      <w:r w:rsidR="008A0C10">
        <w:rPr>
          <w:color w:val="000000" w:themeColor="text1"/>
        </w:rPr>
        <w:t>, and also Number 34, where he says</w:t>
      </w:r>
      <w:r w:rsidR="008A0C10" w:rsidRPr="008A0C10">
        <w:t xml:space="preserve"> </w:t>
      </w:r>
      <w:r w:rsidR="008A0C10">
        <w:t>that ‘[t]here ought to be a CAPACITY to provide for future contingencies as they may happen; and as these are illimitable in their nature, it is impossible safely to limit that capacity’</w:t>
      </w:r>
      <w:r w:rsidR="000C3A5A">
        <w:t>.</w:t>
      </w:r>
      <w:r w:rsidR="008A0C10">
        <w:rPr>
          <w:rStyle w:val="FootnoteReference"/>
        </w:rPr>
        <w:footnoteReference w:id="104"/>
      </w:r>
      <w:r>
        <w:rPr>
          <w:color w:val="000000" w:themeColor="text1"/>
        </w:rPr>
        <w:t xml:space="preserve"> </w:t>
      </w:r>
      <w:r w:rsidR="000C3A5A">
        <w:rPr>
          <w:color w:val="000000" w:themeColor="text1"/>
        </w:rPr>
        <w:t>In the latter paper, he also expressed deep concern about paying off the levels of debt incurred during the War,</w:t>
      </w:r>
      <w:r w:rsidR="009A354C">
        <w:rPr>
          <w:rStyle w:val="FootnoteReference"/>
          <w:color w:val="000000" w:themeColor="text1"/>
        </w:rPr>
        <w:footnoteReference w:id="105"/>
      </w:r>
      <w:r w:rsidR="000C3A5A">
        <w:rPr>
          <w:color w:val="000000" w:themeColor="text1"/>
        </w:rPr>
        <w:t xml:space="preserve"> and the need for public opinion to be taken into account by elected officials (i.e., consent of the people). </w:t>
      </w:r>
      <w:r w:rsidR="002B2404">
        <w:rPr>
          <w:color w:val="000000" w:themeColor="text1"/>
        </w:rPr>
        <w:t>Hamilton was also at pains to stress that the taxes to be levied were familiar:</w:t>
      </w:r>
    </w:p>
    <w:p w14:paraId="257B3B36" w14:textId="77777777" w:rsidR="002B2404" w:rsidRDefault="002B2404" w:rsidP="008A0C10">
      <w:pPr>
        <w:autoSpaceDE w:val="0"/>
        <w:autoSpaceDN w:val="0"/>
        <w:adjustRightInd w:val="0"/>
        <w:spacing w:after="0" w:line="240" w:lineRule="auto"/>
        <w:jc w:val="both"/>
        <w:rPr>
          <w:color w:val="000000" w:themeColor="text1"/>
        </w:rPr>
      </w:pPr>
    </w:p>
    <w:p w14:paraId="798B68C9" w14:textId="45E688F6" w:rsidR="002B2404" w:rsidRDefault="002B2404" w:rsidP="002B2404">
      <w:pPr>
        <w:autoSpaceDE w:val="0"/>
        <w:autoSpaceDN w:val="0"/>
        <w:adjustRightInd w:val="0"/>
        <w:spacing w:after="0" w:line="240" w:lineRule="auto"/>
        <w:ind w:left="720" w:right="662"/>
        <w:jc w:val="both"/>
        <w:rPr>
          <w:color w:val="000000" w:themeColor="text1"/>
        </w:rPr>
      </w:pPr>
      <w:r>
        <w:t>The taxes intended to be comprised under the general denomination of internal taxes may be subdivided into those of the direct and those of the indirect kind. Though the objection be made to both, yet the reasoning upon it seems to be confined to the former branch. And indeed, as to the latter, by which must be understood duties and excises on articles of consumption, one is at a loss to conceive what can be the nature of the difficulties apprehended. The knowledge relating to them must evidently be of a kind that will either be suggested by the nature of the article itself, or can easily be procured from any well-informed man, especially of the mercantile class. The circumstances that may distinguish its situation in one State from its situation in another must be few, simple, and easy to be comprehended. The principal thing to be attended to, would be to avoid those articles which had been previously appropriated to the use of a particular State; and there could be no difficulty in ascertaining the revenue system of each.</w:t>
      </w:r>
      <w:r>
        <w:rPr>
          <w:rStyle w:val="FootnoteReference"/>
        </w:rPr>
        <w:footnoteReference w:id="106"/>
      </w:r>
    </w:p>
    <w:p w14:paraId="53511EF9" w14:textId="77777777" w:rsidR="002B2404" w:rsidRDefault="002B2404" w:rsidP="008A0C10">
      <w:pPr>
        <w:autoSpaceDE w:val="0"/>
        <w:autoSpaceDN w:val="0"/>
        <w:adjustRightInd w:val="0"/>
        <w:spacing w:after="0" w:line="240" w:lineRule="auto"/>
        <w:jc w:val="both"/>
        <w:rPr>
          <w:color w:val="000000" w:themeColor="text1"/>
        </w:rPr>
      </w:pPr>
    </w:p>
    <w:p w14:paraId="52A2D504" w14:textId="58F43C48" w:rsidR="00A0517C" w:rsidRDefault="00582339" w:rsidP="008A0C10">
      <w:pPr>
        <w:autoSpaceDE w:val="0"/>
        <w:autoSpaceDN w:val="0"/>
        <w:adjustRightInd w:val="0"/>
        <w:spacing w:after="0" w:line="240" w:lineRule="auto"/>
        <w:jc w:val="both"/>
        <w:rPr>
          <w:color w:val="000000" w:themeColor="text1"/>
        </w:rPr>
      </w:pPr>
      <w:r>
        <w:rPr>
          <w:color w:val="000000" w:themeColor="text1"/>
        </w:rPr>
        <w:t xml:space="preserve">He did not, however, </w:t>
      </w:r>
      <w:r w:rsidR="00663FDA">
        <w:rPr>
          <w:color w:val="000000" w:themeColor="text1"/>
        </w:rPr>
        <w:t xml:space="preserve">oppose individual state taxation (Numbers 32 and 33). The idea of two systems of taxation operating at the same time, but doing different things, was novel, especially as </w:t>
      </w:r>
      <w:r w:rsidR="006A1D73">
        <w:rPr>
          <w:color w:val="000000" w:themeColor="text1"/>
        </w:rPr>
        <w:t>any</w:t>
      </w:r>
      <w:r w:rsidR="00663FDA">
        <w:rPr>
          <w:color w:val="000000" w:themeColor="text1"/>
        </w:rPr>
        <w:t xml:space="preserve"> federal system would be superimposed on the legacy systems of state taxes. Superimposing tax on all states, and the right to do so, were after all, the root causes of the </w:t>
      </w:r>
      <w:proofErr w:type="gramStart"/>
      <w:r w:rsidR="00663FDA">
        <w:rPr>
          <w:color w:val="000000" w:themeColor="text1"/>
        </w:rPr>
        <w:t>recently-ended</w:t>
      </w:r>
      <w:proofErr w:type="gramEnd"/>
      <w:r w:rsidR="00663FDA">
        <w:rPr>
          <w:color w:val="000000" w:themeColor="text1"/>
        </w:rPr>
        <w:t xml:space="preserve"> War</w:t>
      </w:r>
      <w:r w:rsidR="00783112">
        <w:rPr>
          <w:color w:val="000000" w:themeColor="text1"/>
        </w:rPr>
        <w:t>, and trying to do this without the (majority) consent of the 13 states’ representatives could easily have led to further conflict</w:t>
      </w:r>
      <w:r w:rsidR="006A1D73">
        <w:rPr>
          <w:color w:val="000000" w:themeColor="text1"/>
        </w:rPr>
        <w:t>.</w:t>
      </w:r>
      <w:r w:rsidR="00783112">
        <w:rPr>
          <w:color w:val="000000" w:themeColor="text1"/>
        </w:rPr>
        <w:t xml:space="preserve"> This resonates with Locke’s need for majority consent. Federal tax was an issue </w:t>
      </w:r>
      <w:r w:rsidR="00131808">
        <w:rPr>
          <w:color w:val="000000" w:themeColor="text1"/>
        </w:rPr>
        <w:t xml:space="preserve">with </w:t>
      </w:r>
      <w:r w:rsidR="00783112">
        <w:rPr>
          <w:color w:val="000000" w:themeColor="text1"/>
        </w:rPr>
        <w:t xml:space="preserve">which Great Britain had not needed </w:t>
      </w:r>
      <w:r w:rsidR="00131808">
        <w:rPr>
          <w:color w:val="000000" w:themeColor="text1"/>
        </w:rPr>
        <w:t xml:space="preserve">internally </w:t>
      </w:r>
      <w:r w:rsidR="00783112">
        <w:rPr>
          <w:color w:val="000000" w:themeColor="text1"/>
        </w:rPr>
        <w:t xml:space="preserve">to contend. It had absorbed the countries of Wales in the distance past when monarchic rule prevailed and Scotland in 1707 when that country’s finances had been in a dreadful </w:t>
      </w:r>
      <w:proofErr w:type="gramStart"/>
      <w:r w:rsidR="00783112">
        <w:rPr>
          <w:color w:val="000000" w:themeColor="text1"/>
        </w:rPr>
        <w:t>mess</w:t>
      </w:r>
      <w:proofErr w:type="gramEnd"/>
      <w:r w:rsidR="00783112">
        <w:rPr>
          <w:color w:val="000000" w:themeColor="text1"/>
        </w:rPr>
        <w:t xml:space="preserve"> and it was in no position to complain about any ‘fiscal rescue’ package.</w:t>
      </w:r>
      <w:r w:rsidR="00131808">
        <w:rPr>
          <w:color w:val="000000" w:themeColor="text1"/>
        </w:rPr>
        <w:t xml:space="preserve"> Its attempt to incorporate the American colonies into some sort of federal system had met with disaster, of which the colonists would have been all too aware. Indeed, Great Britain has</w:t>
      </w:r>
      <w:r w:rsidR="00E24D1A">
        <w:rPr>
          <w:color w:val="000000" w:themeColor="text1"/>
        </w:rPr>
        <w:t>, in recent years,</w:t>
      </w:r>
      <w:r w:rsidR="00131808">
        <w:rPr>
          <w:color w:val="000000" w:themeColor="text1"/>
        </w:rPr>
        <w:t xml:space="preserve"> started slowly upon a system of ‘</w:t>
      </w:r>
      <w:proofErr w:type="spellStart"/>
      <w:r w:rsidR="00131808">
        <w:rPr>
          <w:color w:val="000000" w:themeColor="text1"/>
        </w:rPr>
        <w:t>defederalisation</w:t>
      </w:r>
      <w:proofErr w:type="spellEnd"/>
      <w:r w:rsidR="00131808">
        <w:rPr>
          <w:color w:val="000000" w:themeColor="text1"/>
        </w:rPr>
        <w:t>’ in granting certain taxing rights and powers to the separate nations.</w:t>
      </w:r>
      <w:r w:rsidR="00D63E36">
        <w:rPr>
          <w:color w:val="000000" w:themeColor="text1"/>
        </w:rPr>
        <w:t xml:space="preserve"> To show that two sets of law could work well together, Hamilton refers to examples from ancient Rome.</w:t>
      </w:r>
    </w:p>
    <w:p w14:paraId="274CBCE7" w14:textId="45F7B2D3" w:rsidR="00D63E36" w:rsidRDefault="00D63E36" w:rsidP="00D63E36">
      <w:pPr>
        <w:autoSpaceDE w:val="0"/>
        <w:autoSpaceDN w:val="0"/>
        <w:adjustRightInd w:val="0"/>
        <w:spacing w:after="0" w:line="240" w:lineRule="auto"/>
        <w:ind w:right="-22"/>
        <w:jc w:val="both"/>
        <w:rPr>
          <w:color w:val="000000" w:themeColor="text1"/>
        </w:rPr>
      </w:pPr>
    </w:p>
    <w:p w14:paraId="4A941860" w14:textId="496861FF" w:rsidR="00D63E36" w:rsidRDefault="00D63E36" w:rsidP="00D63E36">
      <w:pPr>
        <w:autoSpaceDE w:val="0"/>
        <w:autoSpaceDN w:val="0"/>
        <w:adjustRightInd w:val="0"/>
        <w:spacing w:after="0" w:line="240" w:lineRule="auto"/>
        <w:ind w:left="720" w:right="662"/>
        <w:jc w:val="both"/>
        <w:rPr>
          <w:color w:val="000000" w:themeColor="text1"/>
        </w:rPr>
      </w:pPr>
      <w:r>
        <w:t>It is well known that in the Roman republic the legislative authority, in the last resort, resided for ages in two different political bodies not as branches of the same legislature, but as distinct and independent legislatures, in each of which an opposite interest prevailed: in one the patrician; in the other, the plebian. Many arguments might have been adduced to prove the unfitness of two such seemingly contradictory authorities, each having power to annul or repeal the acts of the other. But a man would have been regarded as frantic who should have attempted at Rome to disprove their existence. It will be readily understood that I allude to the COMITIA CENTURIATA and the COMITIA TRIBUTA. The former, in which the people voted by centuries, was so arranged as to give a superiority to the patrician interest; in the latter, in which numbers prevailed, the plebian interest had an entire predominancy. And yet these two legislatures coexisted for ages, and the Roman republic attained to the utmost height of human greatness.</w:t>
      </w:r>
      <w:r w:rsidR="001A7308">
        <w:rPr>
          <w:rStyle w:val="FootnoteReference"/>
        </w:rPr>
        <w:footnoteReference w:id="107"/>
      </w:r>
    </w:p>
    <w:p w14:paraId="4C7AD090" w14:textId="1EA00CB1" w:rsidR="00D63E36" w:rsidRDefault="00D63E36" w:rsidP="00D63E36">
      <w:pPr>
        <w:autoSpaceDE w:val="0"/>
        <w:autoSpaceDN w:val="0"/>
        <w:adjustRightInd w:val="0"/>
        <w:spacing w:after="0" w:line="240" w:lineRule="auto"/>
        <w:ind w:right="-22"/>
        <w:jc w:val="both"/>
        <w:rPr>
          <w:color w:val="000000" w:themeColor="text1"/>
        </w:rPr>
      </w:pPr>
    </w:p>
    <w:p w14:paraId="3BD571C6" w14:textId="60CFDFEA" w:rsidR="00D63E36" w:rsidRDefault="00D63E36" w:rsidP="009C4FF3">
      <w:pPr>
        <w:autoSpaceDE w:val="0"/>
        <w:autoSpaceDN w:val="0"/>
        <w:adjustRightInd w:val="0"/>
        <w:spacing w:after="0" w:line="240" w:lineRule="auto"/>
        <w:ind w:right="-22" w:firstLine="720"/>
        <w:jc w:val="both"/>
        <w:rPr>
          <w:color w:val="000000" w:themeColor="text1"/>
        </w:rPr>
      </w:pPr>
      <w:bookmarkStart w:id="8" w:name="_Hlk106273463"/>
      <w:r w:rsidRPr="00C650E4">
        <w:rPr>
          <w:i/>
          <w:iCs/>
          <w:color w:val="000000" w:themeColor="text1"/>
        </w:rPr>
        <w:t>The Anti-Federalist Papers</w:t>
      </w:r>
      <w:r>
        <w:rPr>
          <w:color w:val="000000" w:themeColor="text1"/>
        </w:rPr>
        <w:t xml:space="preserve"> </w:t>
      </w:r>
      <w:bookmarkEnd w:id="8"/>
      <w:r>
        <w:rPr>
          <w:color w:val="000000" w:themeColor="text1"/>
        </w:rPr>
        <w:t>expressed the</w:t>
      </w:r>
      <w:r w:rsidR="001A7308">
        <w:rPr>
          <w:color w:val="000000" w:themeColor="text1"/>
        </w:rPr>
        <w:t xml:space="preserve"> views of those who were opposed to ratifying the Constitution.</w:t>
      </w:r>
      <w:r w:rsidR="001A7308">
        <w:rPr>
          <w:rStyle w:val="FootnoteReference"/>
          <w:color w:val="000000" w:themeColor="text1"/>
        </w:rPr>
        <w:footnoteReference w:id="108"/>
      </w:r>
      <w:r w:rsidR="00C650E4">
        <w:rPr>
          <w:color w:val="000000" w:themeColor="text1"/>
        </w:rPr>
        <w:t xml:space="preserve"> The term ‘anti-federalist’ is misleading, as they were in favour of federalism, but wanted central government to be weak, </w:t>
      </w:r>
      <w:r w:rsidR="00C7266B">
        <w:rPr>
          <w:color w:val="000000" w:themeColor="text1"/>
        </w:rPr>
        <w:t>preferring</w:t>
      </w:r>
      <w:r w:rsidR="00C650E4">
        <w:rPr>
          <w:color w:val="000000" w:themeColor="text1"/>
        </w:rPr>
        <w:t xml:space="preserve"> a ‘small’</w:t>
      </w:r>
      <w:r w:rsidR="00C7266B">
        <w:rPr>
          <w:color w:val="000000" w:themeColor="text1"/>
        </w:rPr>
        <w:t>,</w:t>
      </w:r>
      <w:r w:rsidR="00C650E4">
        <w:rPr>
          <w:color w:val="000000" w:themeColor="text1"/>
        </w:rPr>
        <w:t xml:space="preserve"> as opposed to a ‘big’</w:t>
      </w:r>
      <w:r w:rsidR="00C7266B">
        <w:rPr>
          <w:color w:val="000000" w:themeColor="text1"/>
        </w:rPr>
        <w:t>,</w:t>
      </w:r>
      <w:r w:rsidR="00C650E4">
        <w:rPr>
          <w:color w:val="000000" w:themeColor="text1"/>
        </w:rPr>
        <w:t xml:space="preserve"> republic. They reflected the fear of many, no doubt from the pre-War period, that a national government might be rather like Great Britain’s overlordship and have too much power</w:t>
      </w:r>
      <w:r w:rsidR="00AB1E45">
        <w:rPr>
          <w:color w:val="000000" w:themeColor="text1"/>
        </w:rPr>
        <w:t xml:space="preserve"> </w:t>
      </w:r>
      <w:r w:rsidR="00C7266B">
        <w:rPr>
          <w:color w:val="000000" w:themeColor="text1"/>
        </w:rPr>
        <w:t xml:space="preserve">(especially in a president’s hands) </w:t>
      </w:r>
      <w:r w:rsidR="00AB1E45">
        <w:rPr>
          <w:color w:val="000000" w:themeColor="text1"/>
        </w:rPr>
        <w:t xml:space="preserve">that would threaten individual freedoms. To counter this, they favoured having a bill of rights. </w:t>
      </w:r>
      <w:r w:rsidR="00C7266B">
        <w:rPr>
          <w:color w:val="000000" w:themeColor="text1"/>
        </w:rPr>
        <w:t xml:space="preserve">They also had concerns about a federal court system, </w:t>
      </w:r>
      <w:proofErr w:type="gramStart"/>
      <w:r w:rsidR="00C7266B">
        <w:rPr>
          <w:color w:val="000000" w:themeColor="text1"/>
        </w:rPr>
        <w:t>and,</w:t>
      </w:r>
      <w:proofErr w:type="gramEnd"/>
      <w:r w:rsidR="00C7266B">
        <w:rPr>
          <w:color w:val="000000" w:themeColor="text1"/>
        </w:rPr>
        <w:t xml:space="preserve"> g</w:t>
      </w:r>
      <w:r w:rsidR="00AB1E45">
        <w:rPr>
          <w:color w:val="000000" w:themeColor="text1"/>
        </w:rPr>
        <w:t>iven the size of the combined 13 states</w:t>
      </w:r>
      <w:r w:rsidR="00C7266B">
        <w:rPr>
          <w:color w:val="000000" w:themeColor="text1"/>
        </w:rPr>
        <w:t>, about whether a federal republic would actually work effectively.</w:t>
      </w:r>
      <w:r w:rsidR="009C4FF3">
        <w:rPr>
          <w:color w:val="000000" w:themeColor="text1"/>
        </w:rPr>
        <w:t xml:space="preserve"> The authors of the </w:t>
      </w:r>
      <w:proofErr w:type="spellStart"/>
      <w:r w:rsidR="009C4FF3" w:rsidRPr="00C650E4">
        <w:rPr>
          <w:i/>
          <w:iCs/>
          <w:color w:val="000000" w:themeColor="text1"/>
        </w:rPr>
        <w:t>The</w:t>
      </w:r>
      <w:proofErr w:type="spellEnd"/>
      <w:r w:rsidR="009C4FF3" w:rsidRPr="00C650E4">
        <w:rPr>
          <w:i/>
          <w:iCs/>
          <w:color w:val="000000" w:themeColor="text1"/>
        </w:rPr>
        <w:t xml:space="preserve"> Anti-Federalist Papers</w:t>
      </w:r>
      <w:r w:rsidR="009C4FF3">
        <w:rPr>
          <w:color w:val="000000" w:themeColor="text1"/>
        </w:rPr>
        <w:t xml:space="preserve"> also use</w:t>
      </w:r>
      <w:r w:rsidR="00E24D1A">
        <w:rPr>
          <w:color w:val="000000" w:themeColor="text1"/>
        </w:rPr>
        <w:t>d</w:t>
      </w:r>
      <w:r w:rsidR="009C4FF3">
        <w:rPr>
          <w:color w:val="000000" w:themeColor="text1"/>
        </w:rPr>
        <w:t xml:space="preserve"> pseudonyms, but while some are attributable to specific individuals, </w:t>
      </w:r>
      <w:r w:rsidR="00E73E3D">
        <w:rPr>
          <w:color w:val="000000" w:themeColor="text1"/>
        </w:rPr>
        <w:t xml:space="preserve">the authorship of others is less certain. In general, their views represent the body of landowners, farmers, </w:t>
      </w:r>
      <w:proofErr w:type="gramStart"/>
      <w:r w:rsidR="00E73E3D">
        <w:rPr>
          <w:color w:val="000000" w:themeColor="text1"/>
        </w:rPr>
        <w:t>merchants</w:t>
      </w:r>
      <w:proofErr w:type="gramEnd"/>
      <w:r w:rsidR="00E73E3D">
        <w:rPr>
          <w:color w:val="000000" w:themeColor="text1"/>
        </w:rPr>
        <w:t xml:space="preserve"> and workmen of whom the body was comprised. Indeed, Richard Henry Lee (see later), one of the identified authors, refers to himself as the ‘The Federal Farmer’.</w:t>
      </w:r>
      <w:r w:rsidR="00C476B5">
        <w:rPr>
          <w:color w:val="000000" w:themeColor="text1"/>
        </w:rPr>
        <w:t xml:space="preserve"> In this regard, they no doubt identified with the comments of Hume, outline earlier, in respect of peasants and farmers, in </w:t>
      </w:r>
      <w:r w:rsidR="00C476B5" w:rsidRPr="00654510">
        <w:rPr>
          <w:i/>
          <w:iCs/>
          <w:color w:val="000000" w:themeColor="text1"/>
        </w:rPr>
        <w:t xml:space="preserve">Of </w:t>
      </w:r>
      <w:r w:rsidR="00654510" w:rsidRPr="00654510">
        <w:rPr>
          <w:i/>
          <w:iCs/>
          <w:color w:val="000000" w:themeColor="text1"/>
        </w:rPr>
        <w:t>Ci</w:t>
      </w:r>
      <w:r w:rsidR="00C476B5" w:rsidRPr="00654510">
        <w:rPr>
          <w:i/>
          <w:iCs/>
          <w:color w:val="000000" w:themeColor="text1"/>
        </w:rPr>
        <w:t>vi</w:t>
      </w:r>
      <w:r w:rsidR="00654510" w:rsidRPr="00654510">
        <w:rPr>
          <w:i/>
          <w:iCs/>
          <w:color w:val="000000" w:themeColor="text1"/>
        </w:rPr>
        <w:t>l</w:t>
      </w:r>
      <w:r w:rsidR="00C476B5" w:rsidRPr="00654510">
        <w:rPr>
          <w:i/>
          <w:iCs/>
          <w:color w:val="000000" w:themeColor="text1"/>
        </w:rPr>
        <w:t xml:space="preserve"> Liberty</w:t>
      </w:r>
      <w:r w:rsidR="00654510">
        <w:rPr>
          <w:color w:val="000000" w:themeColor="text1"/>
        </w:rPr>
        <w:t>.</w:t>
      </w:r>
      <w:r w:rsidR="00654510">
        <w:rPr>
          <w:rStyle w:val="FootnoteReference"/>
          <w:color w:val="000000" w:themeColor="text1"/>
        </w:rPr>
        <w:footnoteReference w:id="109"/>
      </w:r>
    </w:p>
    <w:p w14:paraId="1704128C" w14:textId="77777777" w:rsidR="00E73E3D" w:rsidRPr="009C4FF3" w:rsidRDefault="00E73E3D" w:rsidP="00E73E3D">
      <w:pPr>
        <w:autoSpaceDE w:val="0"/>
        <w:autoSpaceDN w:val="0"/>
        <w:adjustRightInd w:val="0"/>
        <w:spacing w:after="0" w:line="240" w:lineRule="auto"/>
        <w:ind w:right="-22"/>
        <w:jc w:val="both"/>
        <w:rPr>
          <w:color w:val="000000" w:themeColor="text1"/>
        </w:rPr>
      </w:pPr>
    </w:p>
    <w:p w14:paraId="2768E0B9" w14:textId="317E5F00" w:rsidR="00D63E36" w:rsidRDefault="00C7266B" w:rsidP="00C7266B">
      <w:pPr>
        <w:autoSpaceDE w:val="0"/>
        <w:autoSpaceDN w:val="0"/>
        <w:adjustRightInd w:val="0"/>
        <w:spacing w:after="0" w:line="240" w:lineRule="auto"/>
        <w:ind w:right="-22" w:firstLine="720"/>
        <w:jc w:val="both"/>
        <w:rPr>
          <w:color w:val="000000" w:themeColor="text1"/>
        </w:rPr>
      </w:pPr>
      <w:r w:rsidRPr="00C650E4">
        <w:rPr>
          <w:i/>
          <w:iCs/>
          <w:color w:val="000000" w:themeColor="text1"/>
        </w:rPr>
        <w:t>The Anti-Federalist Papers</w:t>
      </w:r>
      <w:r>
        <w:rPr>
          <w:color w:val="000000" w:themeColor="text1"/>
        </w:rPr>
        <w:t xml:space="preserve"> are generously laced with detailed arguments about taxation, with Numbers 30 through to 36 bein</w:t>
      </w:r>
      <w:r w:rsidR="00410F6F">
        <w:rPr>
          <w:color w:val="000000" w:themeColor="text1"/>
        </w:rPr>
        <w:t>g entirely about taxation. Unsurprisingly, they were troubled by the idea of a federal power to tax, which they wanted – perhaps surprisingly</w:t>
      </w:r>
      <w:r w:rsidR="00E24D1A">
        <w:rPr>
          <w:color w:val="000000" w:themeColor="text1"/>
        </w:rPr>
        <w:t>,</w:t>
      </w:r>
      <w:r w:rsidR="00410F6F">
        <w:rPr>
          <w:color w:val="000000" w:themeColor="text1"/>
        </w:rPr>
        <w:t xml:space="preserve"> in view of what had gone before – to restrict to imposts on goods imported from overseas</w:t>
      </w:r>
      <w:r w:rsidR="003A4377">
        <w:rPr>
          <w:color w:val="000000" w:themeColor="text1"/>
        </w:rPr>
        <w:t xml:space="preserve"> (see Number 31</w:t>
      </w:r>
      <w:r w:rsidR="00873FD2">
        <w:rPr>
          <w:color w:val="000000" w:themeColor="text1"/>
        </w:rPr>
        <w:t>, which specifically acknowledges this reversal of pre-War stance)</w:t>
      </w:r>
      <w:r w:rsidR="00410F6F">
        <w:rPr>
          <w:color w:val="000000" w:themeColor="text1"/>
        </w:rPr>
        <w:t>. As Dry notes</w:t>
      </w:r>
      <w:r w:rsidR="00A12701">
        <w:rPr>
          <w:color w:val="000000" w:themeColor="text1"/>
        </w:rPr>
        <w:t>:</w:t>
      </w:r>
      <w:r w:rsidR="00410F6F">
        <w:rPr>
          <w:rStyle w:val="FootnoteReference"/>
          <w:color w:val="000000" w:themeColor="text1"/>
        </w:rPr>
        <w:footnoteReference w:id="110"/>
      </w:r>
    </w:p>
    <w:p w14:paraId="1BA16B3F" w14:textId="1A9C0F5B" w:rsidR="00A12701" w:rsidRDefault="00A12701" w:rsidP="00A12701">
      <w:pPr>
        <w:autoSpaceDE w:val="0"/>
        <w:autoSpaceDN w:val="0"/>
        <w:adjustRightInd w:val="0"/>
        <w:spacing w:after="0" w:line="240" w:lineRule="auto"/>
        <w:ind w:right="-22"/>
        <w:jc w:val="both"/>
        <w:rPr>
          <w:color w:val="000000" w:themeColor="text1"/>
        </w:rPr>
      </w:pPr>
    </w:p>
    <w:p w14:paraId="28340867" w14:textId="183025F7" w:rsidR="00A12701" w:rsidRDefault="00A12701" w:rsidP="00A12701">
      <w:pPr>
        <w:autoSpaceDE w:val="0"/>
        <w:autoSpaceDN w:val="0"/>
        <w:adjustRightInd w:val="0"/>
        <w:spacing w:after="0" w:line="240" w:lineRule="auto"/>
        <w:ind w:left="720" w:right="686"/>
        <w:jc w:val="both"/>
        <w:rPr>
          <w:color w:val="000000" w:themeColor="text1"/>
        </w:rPr>
      </w:pPr>
      <w:proofErr w:type="gramStart"/>
      <w:r w:rsidRPr="00A12701">
        <w:rPr>
          <w:color w:val="000000" w:themeColor="text1"/>
        </w:rPr>
        <w:t>Thus</w:t>
      </w:r>
      <w:proofErr w:type="gramEnd"/>
      <w:r w:rsidRPr="00A12701">
        <w:rPr>
          <w:color w:val="000000" w:themeColor="text1"/>
        </w:rPr>
        <w:t xml:space="preserve"> they attempted to reply to Hamilton’s great challenge, expressed in </w:t>
      </w:r>
      <w:r w:rsidRPr="00A12701">
        <w:rPr>
          <w:i/>
          <w:iCs/>
          <w:color w:val="000000" w:themeColor="text1"/>
        </w:rPr>
        <w:t>The Federalist</w:t>
      </w:r>
      <w:r w:rsidRPr="00A12701">
        <w:rPr>
          <w:color w:val="000000" w:themeColor="text1"/>
        </w:rPr>
        <w:t>, no. 23, that one not embrace the contradiction of, on the one hand, supporting union and entrusting certain national objectives to the federal government, and, on the other hand, refusing to grant ample powers for the attainment of those objectives.</w:t>
      </w:r>
    </w:p>
    <w:p w14:paraId="0A2D358C" w14:textId="77777777" w:rsidR="00A12701" w:rsidRPr="00A12701" w:rsidRDefault="00A12701" w:rsidP="00A12701">
      <w:pPr>
        <w:autoSpaceDE w:val="0"/>
        <w:autoSpaceDN w:val="0"/>
        <w:adjustRightInd w:val="0"/>
        <w:spacing w:after="0" w:line="240" w:lineRule="auto"/>
        <w:ind w:right="686"/>
        <w:jc w:val="both"/>
        <w:rPr>
          <w:color w:val="000000" w:themeColor="text1"/>
        </w:rPr>
      </w:pPr>
    </w:p>
    <w:p w14:paraId="7005C3C3" w14:textId="20D1208C" w:rsidR="00A12701" w:rsidRDefault="00A12701" w:rsidP="00A12701">
      <w:pPr>
        <w:autoSpaceDE w:val="0"/>
        <w:autoSpaceDN w:val="0"/>
        <w:adjustRightInd w:val="0"/>
        <w:spacing w:after="0" w:line="240" w:lineRule="auto"/>
        <w:ind w:right="-22"/>
        <w:jc w:val="both"/>
        <w:rPr>
          <w:color w:val="000000" w:themeColor="text1"/>
        </w:rPr>
      </w:pPr>
      <w:r>
        <w:rPr>
          <w:color w:val="000000" w:themeColor="text1"/>
        </w:rPr>
        <w:t xml:space="preserve">The Constitution was very narrowly approved, but taxation remained a contentious issue, with the government needing to resort to arms in 1794 and 1798 to deal with rebellions (the Whiskey Rebellion and </w:t>
      </w:r>
      <w:proofErr w:type="spellStart"/>
      <w:r>
        <w:rPr>
          <w:color w:val="000000" w:themeColor="text1"/>
        </w:rPr>
        <w:t>Fries’s</w:t>
      </w:r>
      <w:proofErr w:type="spellEnd"/>
      <w:r>
        <w:rPr>
          <w:color w:val="000000" w:themeColor="text1"/>
        </w:rPr>
        <w:t xml:space="preserve"> Rebellion respectively).</w:t>
      </w:r>
    </w:p>
    <w:p w14:paraId="11DA5083" w14:textId="7F4F6729" w:rsidR="00A12701" w:rsidRDefault="00A12701" w:rsidP="00A12701">
      <w:pPr>
        <w:autoSpaceDE w:val="0"/>
        <w:autoSpaceDN w:val="0"/>
        <w:adjustRightInd w:val="0"/>
        <w:spacing w:after="0" w:line="240" w:lineRule="auto"/>
        <w:ind w:right="-22"/>
        <w:jc w:val="both"/>
        <w:rPr>
          <w:color w:val="000000" w:themeColor="text1"/>
        </w:rPr>
      </w:pPr>
    </w:p>
    <w:p w14:paraId="24358B3B" w14:textId="1C25C9F8" w:rsidR="00A12701" w:rsidRDefault="00A12701" w:rsidP="00A12701">
      <w:pPr>
        <w:autoSpaceDE w:val="0"/>
        <w:autoSpaceDN w:val="0"/>
        <w:adjustRightInd w:val="0"/>
        <w:spacing w:after="0" w:line="240" w:lineRule="auto"/>
        <w:ind w:right="-22" w:firstLine="720"/>
        <w:jc w:val="both"/>
        <w:rPr>
          <w:color w:val="000000" w:themeColor="text1"/>
        </w:rPr>
      </w:pPr>
      <w:r>
        <w:rPr>
          <w:color w:val="000000" w:themeColor="text1"/>
        </w:rPr>
        <w:t>What then were the philosophical influences dominating the thinking of the writers and approvers of the Constitution</w:t>
      </w:r>
      <w:r w:rsidR="0035772A">
        <w:rPr>
          <w:color w:val="000000" w:themeColor="text1"/>
        </w:rPr>
        <w:t>, and the Founding Fathers generally</w:t>
      </w:r>
      <w:r>
        <w:rPr>
          <w:color w:val="000000" w:themeColor="text1"/>
        </w:rPr>
        <w:t>?</w:t>
      </w:r>
      <w:r w:rsidR="00B277BB">
        <w:rPr>
          <w:color w:val="000000" w:themeColor="text1"/>
        </w:rPr>
        <w:t xml:space="preserve"> From Lutz’s work, it is evident that many thinkers and sources influenced the founders, especially in </w:t>
      </w:r>
      <w:r w:rsidR="00B277BB" w:rsidRPr="00B277BB">
        <w:rPr>
          <w:i/>
          <w:iCs/>
          <w:color w:val="000000" w:themeColor="text1"/>
        </w:rPr>
        <w:t xml:space="preserve">The Federalist </w:t>
      </w:r>
      <w:r w:rsidR="00B277BB" w:rsidRPr="0035772A">
        <w:rPr>
          <w:color w:val="000000" w:themeColor="text1"/>
        </w:rPr>
        <w:t xml:space="preserve">and </w:t>
      </w:r>
      <w:r w:rsidR="0035772A">
        <w:rPr>
          <w:i/>
          <w:iCs/>
          <w:color w:val="000000" w:themeColor="text1"/>
        </w:rPr>
        <w:t xml:space="preserve">The </w:t>
      </w:r>
      <w:r w:rsidR="00B277BB" w:rsidRPr="00B277BB">
        <w:rPr>
          <w:i/>
          <w:iCs/>
          <w:color w:val="000000" w:themeColor="text1"/>
        </w:rPr>
        <w:t>Anti-Federalist Papers</w:t>
      </w:r>
      <w:r w:rsidR="00B277BB">
        <w:rPr>
          <w:color w:val="000000" w:themeColor="text1"/>
        </w:rPr>
        <w:t xml:space="preserve"> – and not all sources would have carried equal weight. Sometimes a specific writer was acknowledged, as in the case of Locke – and in reference to taxation. </w:t>
      </w:r>
      <w:proofErr w:type="spellStart"/>
      <w:r w:rsidR="00B277BB">
        <w:rPr>
          <w:color w:val="000000" w:themeColor="text1"/>
        </w:rPr>
        <w:t>Asadi</w:t>
      </w:r>
      <w:proofErr w:type="spellEnd"/>
      <w:r w:rsidR="00B277BB">
        <w:rPr>
          <w:rStyle w:val="FootnoteReference"/>
          <w:color w:val="000000" w:themeColor="text1"/>
        </w:rPr>
        <w:footnoteReference w:id="111"/>
      </w:r>
      <w:r w:rsidR="00DF4A0D">
        <w:rPr>
          <w:color w:val="000000" w:themeColor="text1"/>
        </w:rPr>
        <w:t xml:space="preserve"> notes the explicit citation by Samuel Adams of Locke’s </w:t>
      </w:r>
      <w:r w:rsidR="00DF4A0D" w:rsidRPr="001B066B">
        <w:rPr>
          <w:i/>
          <w:iCs/>
          <w:color w:val="000000" w:themeColor="text1"/>
        </w:rPr>
        <w:t xml:space="preserve">Second Treatise, </w:t>
      </w:r>
      <w:r w:rsidR="00DF4A0D" w:rsidRPr="001B066B">
        <w:rPr>
          <w:iCs/>
          <w:color w:val="000000" w:themeColor="text1"/>
        </w:rPr>
        <w:t xml:space="preserve">Chapter </w:t>
      </w:r>
      <w:r w:rsidR="00DF4A0D" w:rsidRPr="001B066B">
        <w:rPr>
          <w:color w:val="000000" w:themeColor="text1"/>
        </w:rPr>
        <w:t>11.140</w:t>
      </w:r>
      <w:r w:rsidR="00DF4A0D">
        <w:rPr>
          <w:color w:val="000000" w:themeColor="text1"/>
        </w:rPr>
        <w:t>, in an article Adams wrote</w:t>
      </w:r>
      <w:r w:rsidR="00445968">
        <w:rPr>
          <w:color w:val="000000" w:themeColor="text1"/>
        </w:rPr>
        <w:t xml:space="preserve"> in the </w:t>
      </w:r>
      <w:r w:rsidR="00445968" w:rsidRPr="00445968">
        <w:rPr>
          <w:i/>
          <w:iCs/>
          <w:color w:val="000000" w:themeColor="text1"/>
        </w:rPr>
        <w:t>Boston Gazette</w:t>
      </w:r>
      <w:r w:rsidR="00445968">
        <w:rPr>
          <w:color w:val="000000" w:themeColor="text1"/>
        </w:rPr>
        <w:t xml:space="preserve"> on 23 December 1771. </w:t>
      </w:r>
      <w:proofErr w:type="spellStart"/>
      <w:r w:rsidR="00445968">
        <w:rPr>
          <w:color w:val="000000" w:themeColor="text1"/>
        </w:rPr>
        <w:t>Asadi</w:t>
      </w:r>
      <w:proofErr w:type="spellEnd"/>
      <w:r w:rsidR="00445968">
        <w:rPr>
          <w:rStyle w:val="FootnoteReference"/>
          <w:color w:val="000000" w:themeColor="text1"/>
        </w:rPr>
        <w:footnoteReference w:id="112"/>
      </w:r>
      <w:r w:rsidR="00445968">
        <w:rPr>
          <w:color w:val="000000" w:themeColor="text1"/>
        </w:rPr>
        <w:t xml:space="preserve"> goes on to cite a further article by Adams</w:t>
      </w:r>
      <w:r w:rsidR="008C374E">
        <w:rPr>
          <w:color w:val="000000" w:themeColor="text1"/>
        </w:rPr>
        <w:t xml:space="preserve"> in the </w:t>
      </w:r>
      <w:r w:rsidR="008C374E" w:rsidRPr="008C374E">
        <w:rPr>
          <w:i/>
          <w:iCs/>
          <w:color w:val="000000" w:themeColor="text1"/>
        </w:rPr>
        <w:t>Boston Gazette</w:t>
      </w:r>
      <w:r w:rsidR="00445968">
        <w:rPr>
          <w:color w:val="000000" w:themeColor="text1"/>
        </w:rPr>
        <w:t>, on 20 Jan</w:t>
      </w:r>
      <w:r w:rsidR="00BC3BEE">
        <w:rPr>
          <w:color w:val="000000" w:themeColor="text1"/>
        </w:rPr>
        <w:t>ua</w:t>
      </w:r>
      <w:r w:rsidR="00445968">
        <w:rPr>
          <w:color w:val="000000" w:themeColor="text1"/>
        </w:rPr>
        <w:t>ry 1772</w:t>
      </w:r>
      <w:r w:rsidR="008C374E">
        <w:rPr>
          <w:color w:val="000000" w:themeColor="text1"/>
        </w:rPr>
        <w:t>:</w:t>
      </w:r>
    </w:p>
    <w:p w14:paraId="4F11025A" w14:textId="5A940AB0" w:rsidR="00A12701" w:rsidRDefault="00A12701" w:rsidP="00A12701">
      <w:pPr>
        <w:autoSpaceDE w:val="0"/>
        <w:autoSpaceDN w:val="0"/>
        <w:adjustRightInd w:val="0"/>
        <w:spacing w:after="0" w:line="240" w:lineRule="auto"/>
        <w:ind w:right="-22"/>
        <w:jc w:val="both"/>
        <w:rPr>
          <w:color w:val="000000" w:themeColor="text1"/>
        </w:rPr>
      </w:pPr>
    </w:p>
    <w:p w14:paraId="7C6AF387" w14:textId="7BF7B4A7" w:rsidR="00A12701" w:rsidRPr="008C374E" w:rsidRDefault="00445968" w:rsidP="008C374E">
      <w:pPr>
        <w:autoSpaceDE w:val="0"/>
        <w:autoSpaceDN w:val="0"/>
        <w:adjustRightInd w:val="0"/>
        <w:spacing w:after="0" w:line="240" w:lineRule="auto"/>
        <w:ind w:left="720" w:right="662"/>
        <w:jc w:val="both"/>
        <w:rPr>
          <w:color w:val="000000" w:themeColor="text1"/>
        </w:rPr>
      </w:pPr>
      <w:r w:rsidRPr="008C374E">
        <w:t>But the parliament</w:t>
      </w:r>
      <w:r w:rsidR="008C374E">
        <w:t>’</w:t>
      </w:r>
      <w:r w:rsidRPr="008C374E">
        <w:t>s laying taxes on the Colonies for the express purpose of</w:t>
      </w:r>
      <w:r w:rsidR="008C374E">
        <w:t xml:space="preserve"> </w:t>
      </w:r>
      <w:r w:rsidRPr="008C374E">
        <w:t>raising a revenue, takes the purse strings out of their hands, and</w:t>
      </w:r>
      <w:r w:rsidR="008C374E">
        <w:t xml:space="preserve"> </w:t>
      </w:r>
      <w:r w:rsidRPr="008C374E">
        <w:t xml:space="preserve">consequently it is </w:t>
      </w:r>
      <w:r w:rsidR="008C374E">
        <w:t>‘</w:t>
      </w:r>
      <w:r w:rsidRPr="008C374E">
        <w:t>repugnant to, and subversive of (the end of) our</w:t>
      </w:r>
      <w:r w:rsidR="008C374E">
        <w:t xml:space="preserve"> </w:t>
      </w:r>
      <w:r w:rsidRPr="008C374E">
        <w:t>constitution</w:t>
      </w:r>
      <w:r w:rsidR="008C374E">
        <w:t>’</w:t>
      </w:r>
      <w:r w:rsidRPr="008C374E">
        <w:t xml:space="preserve"> </w:t>
      </w:r>
      <w:r w:rsidR="008C374E">
        <w:t xml:space="preserve">– </w:t>
      </w:r>
      <w:r w:rsidRPr="008C374E">
        <w:t xml:space="preserve">Liberty. Mr. Locke </w:t>
      </w:r>
      <w:proofErr w:type="gramStart"/>
      <w:r w:rsidRPr="008C374E">
        <w:t>says,</w:t>
      </w:r>
      <w:proofErr w:type="gramEnd"/>
      <w:r w:rsidRPr="008C374E">
        <w:t xml:space="preserve"> that the security of property is the end</w:t>
      </w:r>
      <w:r w:rsidR="008C374E">
        <w:t xml:space="preserve"> </w:t>
      </w:r>
      <w:r w:rsidRPr="008C374E">
        <w:t>for which men enter into society</w:t>
      </w:r>
      <w:r w:rsidR="008C374E">
        <w:t xml:space="preserve"> …</w:t>
      </w:r>
    </w:p>
    <w:p w14:paraId="53A72689" w14:textId="3877B31E" w:rsidR="00A12701" w:rsidRDefault="00A12701" w:rsidP="008C374E">
      <w:pPr>
        <w:autoSpaceDE w:val="0"/>
        <w:autoSpaceDN w:val="0"/>
        <w:adjustRightInd w:val="0"/>
        <w:spacing w:after="0" w:line="240" w:lineRule="auto"/>
        <w:ind w:right="-22"/>
        <w:jc w:val="both"/>
        <w:rPr>
          <w:color w:val="000000" w:themeColor="text1"/>
        </w:rPr>
      </w:pPr>
    </w:p>
    <w:p w14:paraId="631F637B" w14:textId="0AA8CF58" w:rsidR="00623847" w:rsidRDefault="00623847" w:rsidP="008C374E">
      <w:pPr>
        <w:autoSpaceDE w:val="0"/>
        <w:autoSpaceDN w:val="0"/>
        <w:adjustRightInd w:val="0"/>
        <w:spacing w:after="0" w:line="240" w:lineRule="auto"/>
        <w:ind w:right="-22"/>
        <w:jc w:val="both"/>
        <w:rPr>
          <w:color w:val="000000" w:themeColor="text1"/>
        </w:rPr>
      </w:pPr>
      <w:r>
        <w:rPr>
          <w:color w:val="000000" w:themeColor="text1"/>
        </w:rPr>
        <w:t>Significantly, Adams was part of the Massachusetts ratifying convention for the US Constitution</w:t>
      </w:r>
      <w:r w:rsidR="00F621DC">
        <w:rPr>
          <w:color w:val="000000" w:themeColor="text1"/>
        </w:rPr>
        <w:t xml:space="preserve">, and was an </w:t>
      </w:r>
      <w:r w:rsidR="00E41D68">
        <w:rPr>
          <w:color w:val="000000" w:themeColor="text1"/>
        </w:rPr>
        <w:t>A</w:t>
      </w:r>
      <w:r w:rsidR="00F621DC">
        <w:rPr>
          <w:color w:val="000000" w:themeColor="text1"/>
        </w:rPr>
        <w:t>nti-</w:t>
      </w:r>
      <w:r w:rsidR="00E41D68">
        <w:rPr>
          <w:color w:val="000000" w:themeColor="text1"/>
        </w:rPr>
        <w:t>Fe</w:t>
      </w:r>
      <w:r w:rsidR="00F621DC">
        <w:rPr>
          <w:color w:val="000000" w:themeColor="text1"/>
        </w:rPr>
        <w:t>deralist (as were also, notably, Patrick Henry and Richard Henry Lee, both representing Virginia).</w:t>
      </w:r>
      <w:r w:rsidR="00873FD2">
        <w:rPr>
          <w:color w:val="000000" w:themeColor="text1"/>
        </w:rPr>
        <w:t xml:space="preserve"> More specifically, Number 32</w:t>
      </w:r>
      <w:r w:rsidR="00873FD2">
        <w:rPr>
          <w:rStyle w:val="FootnoteReference"/>
          <w:color w:val="000000" w:themeColor="text1"/>
        </w:rPr>
        <w:footnoteReference w:id="113"/>
      </w:r>
      <w:r w:rsidR="00873FD2">
        <w:rPr>
          <w:color w:val="000000" w:themeColor="text1"/>
        </w:rPr>
        <w:t xml:space="preserve"> of </w:t>
      </w:r>
      <w:r w:rsidR="00873FD2" w:rsidRPr="00873FD2">
        <w:rPr>
          <w:i/>
          <w:iCs/>
          <w:color w:val="000000" w:themeColor="text1"/>
        </w:rPr>
        <w:t>The Anti-Federalist Papers</w:t>
      </w:r>
      <w:r w:rsidR="00873FD2">
        <w:rPr>
          <w:color w:val="000000" w:themeColor="text1"/>
        </w:rPr>
        <w:t xml:space="preserve"> comments:</w:t>
      </w:r>
    </w:p>
    <w:p w14:paraId="2F77ADD1" w14:textId="5F0FE1C5" w:rsidR="0076435B" w:rsidRDefault="0076435B" w:rsidP="008C374E">
      <w:pPr>
        <w:autoSpaceDE w:val="0"/>
        <w:autoSpaceDN w:val="0"/>
        <w:adjustRightInd w:val="0"/>
        <w:spacing w:after="0" w:line="240" w:lineRule="auto"/>
        <w:ind w:right="-22"/>
        <w:jc w:val="both"/>
        <w:rPr>
          <w:color w:val="000000" w:themeColor="text1"/>
        </w:rPr>
      </w:pPr>
    </w:p>
    <w:p w14:paraId="7F553474" w14:textId="2D9096A6" w:rsidR="00873FD2" w:rsidRDefault="00873FD2" w:rsidP="00472DF7">
      <w:pPr>
        <w:autoSpaceDE w:val="0"/>
        <w:autoSpaceDN w:val="0"/>
        <w:adjustRightInd w:val="0"/>
        <w:spacing w:after="0" w:line="240" w:lineRule="auto"/>
        <w:ind w:left="720" w:right="662"/>
        <w:jc w:val="both"/>
        <w:rPr>
          <w:color w:val="000000" w:themeColor="text1"/>
        </w:rPr>
      </w:pPr>
      <w:r>
        <w:t>Not only are these terms very comprehensive, and extend</w:t>
      </w:r>
      <w:r w:rsidR="00472DF7">
        <w:t xml:space="preserve"> </w:t>
      </w:r>
      <w:r>
        <w:t>to a vast number of objects, but the power to lay and collect has great latitude; it will lead</w:t>
      </w:r>
      <w:r w:rsidR="00472DF7">
        <w:t xml:space="preserve"> </w:t>
      </w:r>
      <w:r>
        <w:t>to the passing a vast number of laws, which may affect the personal rights of the citizens of</w:t>
      </w:r>
      <w:r w:rsidR="00472DF7">
        <w:t xml:space="preserve"> </w:t>
      </w:r>
      <w:r>
        <w:t>the states, expose their property to fines and confiscation, and put their lives in jeopardy: it</w:t>
      </w:r>
      <w:r w:rsidR="00472DF7">
        <w:t xml:space="preserve"> </w:t>
      </w:r>
      <w:r>
        <w:t>opens a door to the appointment of a swarm of revenue and excise officers to pray [sic]</w:t>
      </w:r>
      <w:r w:rsidR="00472DF7">
        <w:t xml:space="preserve"> </w:t>
      </w:r>
      <w:r>
        <w:t>upon the honest and industrious part of the community, eat up their substance, and riot on</w:t>
      </w:r>
      <w:r w:rsidR="00472DF7">
        <w:t xml:space="preserve"> </w:t>
      </w:r>
      <w:r>
        <w:t>the spoils of the country.</w:t>
      </w:r>
    </w:p>
    <w:p w14:paraId="25836983" w14:textId="3D737A98" w:rsidR="00873FD2" w:rsidRDefault="00873FD2" w:rsidP="008C374E">
      <w:pPr>
        <w:autoSpaceDE w:val="0"/>
        <w:autoSpaceDN w:val="0"/>
        <w:adjustRightInd w:val="0"/>
        <w:spacing w:after="0" w:line="240" w:lineRule="auto"/>
        <w:ind w:right="-22"/>
        <w:jc w:val="both"/>
        <w:rPr>
          <w:color w:val="000000" w:themeColor="text1"/>
        </w:rPr>
      </w:pPr>
    </w:p>
    <w:p w14:paraId="7AF0F546" w14:textId="455CDD15" w:rsidR="00B9510D" w:rsidRDefault="00B9510D" w:rsidP="00B9510D">
      <w:pPr>
        <w:autoSpaceDE w:val="0"/>
        <w:autoSpaceDN w:val="0"/>
        <w:adjustRightInd w:val="0"/>
        <w:spacing w:after="0" w:line="240" w:lineRule="auto"/>
        <w:jc w:val="both"/>
        <w:rPr>
          <w:color w:val="000000" w:themeColor="text1"/>
        </w:rPr>
      </w:pPr>
      <w:proofErr w:type="spellStart"/>
      <w:r>
        <w:rPr>
          <w:color w:val="000000" w:themeColor="text1"/>
        </w:rPr>
        <w:t>Mashaw</w:t>
      </w:r>
      <w:proofErr w:type="spellEnd"/>
      <w:r>
        <w:rPr>
          <w:rStyle w:val="FootnoteReference"/>
        </w:rPr>
        <w:footnoteReference w:id="114"/>
      </w:r>
      <w:r>
        <w:rPr>
          <w:color w:val="000000" w:themeColor="text1"/>
        </w:rPr>
        <w:t xml:space="preserve"> notes that these concerns were, however, taken on board. The early tax statutes took into account balancing the individual rights of taxpayers with protecting individuals’ </w:t>
      </w:r>
      <w:proofErr w:type="gramStart"/>
      <w:r>
        <w:rPr>
          <w:color w:val="000000" w:themeColor="text1"/>
        </w:rPr>
        <w:t>rights, and</w:t>
      </w:r>
      <w:proofErr w:type="gramEnd"/>
      <w:r>
        <w:rPr>
          <w:color w:val="000000" w:themeColor="text1"/>
        </w:rPr>
        <w:t xml:space="preserve"> employed ‘</w:t>
      </w:r>
      <w:r w:rsidRPr="00B9510D">
        <w:t>a host of different techniques to energize officials, guard against corruption, bring relevant expertise to bear on the determination of the value of goods, satisfy local interests, and utilize existing state and local enforcement resources’</w:t>
      </w:r>
      <w:r>
        <w:t>.</w:t>
      </w:r>
    </w:p>
    <w:p w14:paraId="276971DF" w14:textId="77777777" w:rsidR="00B9510D" w:rsidRDefault="00B9510D" w:rsidP="00DC4A03">
      <w:pPr>
        <w:autoSpaceDE w:val="0"/>
        <w:autoSpaceDN w:val="0"/>
        <w:adjustRightInd w:val="0"/>
        <w:spacing w:after="0" w:line="240" w:lineRule="auto"/>
        <w:jc w:val="both"/>
        <w:rPr>
          <w:color w:val="000000" w:themeColor="text1"/>
        </w:rPr>
      </w:pPr>
    </w:p>
    <w:p w14:paraId="42CDB74D" w14:textId="6BA676F1" w:rsidR="00873FD2" w:rsidRDefault="00472DF7" w:rsidP="00244BB1">
      <w:pPr>
        <w:autoSpaceDE w:val="0"/>
        <w:autoSpaceDN w:val="0"/>
        <w:adjustRightInd w:val="0"/>
        <w:spacing w:after="0" w:line="240" w:lineRule="auto"/>
        <w:ind w:firstLine="720"/>
        <w:jc w:val="both"/>
      </w:pPr>
      <w:r>
        <w:rPr>
          <w:color w:val="000000" w:themeColor="text1"/>
        </w:rPr>
        <w:t xml:space="preserve">The author </w:t>
      </w:r>
      <w:r w:rsidR="00244BB1">
        <w:rPr>
          <w:color w:val="000000" w:themeColor="text1"/>
        </w:rPr>
        <w:t xml:space="preserve">of Number 32 </w:t>
      </w:r>
      <w:r w:rsidR="00D00151">
        <w:rPr>
          <w:color w:val="000000" w:themeColor="text1"/>
        </w:rPr>
        <w:t xml:space="preserve">of </w:t>
      </w:r>
      <w:r w:rsidR="00D00151" w:rsidRPr="00D00151">
        <w:rPr>
          <w:i/>
          <w:iCs/>
          <w:color w:val="000000" w:themeColor="text1"/>
        </w:rPr>
        <w:t>The Anti-Federalist Papers</w:t>
      </w:r>
      <w:r w:rsidR="00D00151">
        <w:rPr>
          <w:color w:val="000000" w:themeColor="text1"/>
        </w:rPr>
        <w:t xml:space="preserve"> </w:t>
      </w:r>
      <w:r w:rsidR="00244BB1">
        <w:rPr>
          <w:color w:val="000000" w:themeColor="text1"/>
        </w:rPr>
        <w:t xml:space="preserve">likewise </w:t>
      </w:r>
      <w:r>
        <w:rPr>
          <w:color w:val="000000" w:themeColor="text1"/>
        </w:rPr>
        <w:t>fears</w:t>
      </w:r>
      <w:r>
        <w:rPr>
          <w:rStyle w:val="FootnoteReference"/>
          <w:color w:val="000000" w:themeColor="text1"/>
        </w:rPr>
        <w:footnoteReference w:id="115"/>
      </w:r>
      <w:r>
        <w:rPr>
          <w:color w:val="000000" w:themeColor="text1"/>
        </w:rPr>
        <w:t xml:space="preserve"> that federal power to tax will override any sta</w:t>
      </w:r>
      <w:r w:rsidR="00FF525E">
        <w:rPr>
          <w:color w:val="000000" w:themeColor="text1"/>
        </w:rPr>
        <w:t xml:space="preserve">te’s ability to do so, with the author of Number </w:t>
      </w:r>
      <w:r w:rsidR="009C4FF3">
        <w:rPr>
          <w:color w:val="000000" w:themeColor="text1"/>
        </w:rPr>
        <w:t>35</w:t>
      </w:r>
      <w:r w:rsidR="009C4FF3">
        <w:rPr>
          <w:rStyle w:val="FootnoteReference"/>
          <w:color w:val="000000" w:themeColor="text1"/>
        </w:rPr>
        <w:footnoteReference w:id="116"/>
      </w:r>
      <w:r w:rsidR="009C4FF3">
        <w:rPr>
          <w:color w:val="000000" w:themeColor="text1"/>
        </w:rPr>
        <w:t xml:space="preserve"> saying that ‘[t]</w:t>
      </w:r>
      <w:proofErr w:type="spellStart"/>
      <w:r w:rsidR="009C4FF3">
        <w:t>hese</w:t>
      </w:r>
      <w:proofErr w:type="spellEnd"/>
      <w:r w:rsidR="009C4FF3">
        <w:t xml:space="preserve"> two concurrent powers cannot exist long together; the one will destroy the other’</w:t>
      </w:r>
      <w:r w:rsidR="00FF525E">
        <w:rPr>
          <w:color w:val="000000" w:themeColor="text1"/>
        </w:rPr>
        <w:t xml:space="preserve">. </w:t>
      </w:r>
      <w:r>
        <w:rPr>
          <w:color w:val="000000" w:themeColor="text1"/>
        </w:rPr>
        <w:t>Again, the underlying influence is that of Locke, but the types of taxes are more those envisioned by Hume and Montesquieu</w:t>
      </w:r>
      <w:r w:rsidR="00FF525E">
        <w:rPr>
          <w:color w:val="000000" w:themeColor="text1"/>
        </w:rPr>
        <w:t>, and there is an oblique reference to Hume’s reference to custom, in terms of state powers to tax, which they had always had</w:t>
      </w:r>
      <w:r>
        <w:rPr>
          <w:color w:val="000000" w:themeColor="text1"/>
        </w:rPr>
        <w:t>.</w:t>
      </w:r>
      <w:r w:rsidR="00F96707">
        <w:rPr>
          <w:color w:val="000000" w:themeColor="text1"/>
        </w:rPr>
        <w:t xml:space="preserve"> Hamilton, in </w:t>
      </w:r>
      <w:r w:rsidR="00DC4A03">
        <w:rPr>
          <w:color w:val="000000" w:themeColor="text1"/>
        </w:rPr>
        <w:t xml:space="preserve">Number 32 of </w:t>
      </w:r>
      <w:r w:rsidR="00DC4A03" w:rsidRPr="00D00151">
        <w:rPr>
          <w:i/>
          <w:iCs/>
          <w:color w:val="000000" w:themeColor="text1"/>
        </w:rPr>
        <w:t>The Federalist Papers</w:t>
      </w:r>
      <w:r w:rsidR="00DC4A03">
        <w:rPr>
          <w:color w:val="000000" w:themeColor="text1"/>
        </w:rPr>
        <w:t xml:space="preserve"> is explicit that this would not be the case, saying that ‘[t]</w:t>
      </w:r>
      <w:r w:rsidR="00DC4A03">
        <w:t>here is plainly no expression in the granting clause which makes that power exclusive in the Union. There is no independent clause or sentence which prohibits the States from exercising it’.</w:t>
      </w:r>
      <w:r w:rsidR="00DC4A03">
        <w:rPr>
          <w:rStyle w:val="FootnoteReference"/>
        </w:rPr>
        <w:footnoteReference w:id="117"/>
      </w:r>
      <w:r w:rsidR="00C476B5">
        <w:t xml:space="preserve"> This also resonates with Montesquieu’s view that taxes should be adapted to the nature of the state and its circumstances.</w:t>
      </w:r>
    </w:p>
    <w:p w14:paraId="3A9848CF" w14:textId="77777777" w:rsidR="00E4779A" w:rsidRDefault="00E4779A" w:rsidP="00DC4A03">
      <w:pPr>
        <w:autoSpaceDE w:val="0"/>
        <w:autoSpaceDN w:val="0"/>
        <w:adjustRightInd w:val="0"/>
        <w:spacing w:after="0" w:line="240" w:lineRule="auto"/>
        <w:jc w:val="both"/>
        <w:rPr>
          <w:color w:val="000000" w:themeColor="text1"/>
        </w:rPr>
      </w:pPr>
    </w:p>
    <w:p w14:paraId="3750F287" w14:textId="1F0C5672" w:rsidR="0076435B" w:rsidRDefault="0076435B" w:rsidP="0076435B">
      <w:pPr>
        <w:autoSpaceDE w:val="0"/>
        <w:autoSpaceDN w:val="0"/>
        <w:adjustRightInd w:val="0"/>
        <w:spacing w:after="0" w:line="240" w:lineRule="auto"/>
        <w:ind w:right="-22" w:firstLine="720"/>
        <w:jc w:val="both"/>
        <w:rPr>
          <w:color w:val="000000" w:themeColor="text1"/>
        </w:rPr>
      </w:pPr>
      <w:r>
        <w:rPr>
          <w:color w:val="000000" w:themeColor="text1"/>
        </w:rPr>
        <w:t>Weaver</w:t>
      </w:r>
      <w:r>
        <w:rPr>
          <w:rStyle w:val="FootnoteReference"/>
          <w:color w:val="000000" w:themeColor="text1"/>
        </w:rPr>
        <w:footnoteReference w:id="118"/>
      </w:r>
      <w:r>
        <w:rPr>
          <w:color w:val="000000" w:themeColor="text1"/>
        </w:rPr>
        <w:t xml:space="preserve"> comments</w:t>
      </w:r>
      <w:r w:rsidR="00E41D68">
        <w:rPr>
          <w:color w:val="000000" w:themeColor="text1"/>
        </w:rPr>
        <w:t>, however, that Locke was also a ‘dominant influence’ on the Federalists</w:t>
      </w:r>
      <w:r w:rsidR="00CD7EA0">
        <w:rPr>
          <w:color w:val="000000" w:themeColor="text1"/>
        </w:rPr>
        <w:t>. Wootton</w:t>
      </w:r>
      <w:r w:rsidR="00CD7EA0">
        <w:rPr>
          <w:rStyle w:val="FootnoteReference"/>
          <w:color w:val="000000" w:themeColor="text1"/>
        </w:rPr>
        <w:footnoteReference w:id="119"/>
      </w:r>
      <w:r w:rsidR="00CD7EA0">
        <w:rPr>
          <w:color w:val="000000" w:themeColor="text1"/>
        </w:rPr>
        <w:t xml:space="preserve"> notes that, while the recent War had aimed to curb monarchical power, rising debt and taxation had shifted emphasis</w:t>
      </w:r>
      <w:r w:rsidR="0035772A">
        <w:rPr>
          <w:color w:val="000000" w:themeColor="text1"/>
        </w:rPr>
        <w:t xml:space="preserve"> more to restraining legislative rather than executive power.</w:t>
      </w:r>
      <w:r w:rsidR="007F6F2D">
        <w:rPr>
          <w:color w:val="000000" w:themeColor="text1"/>
        </w:rPr>
        <w:t xml:space="preserve"> </w:t>
      </w:r>
      <w:r w:rsidR="0076054F">
        <w:rPr>
          <w:color w:val="000000" w:themeColor="text1"/>
        </w:rPr>
        <w:t>However, the ideas are inextricably intertwined, possibly in both the English and American psyche. To quote John Pym, addressing the opening of the English Parliament in 1640:</w:t>
      </w:r>
    </w:p>
    <w:p w14:paraId="375D2370" w14:textId="0B25593B" w:rsidR="0076054F" w:rsidRDefault="0076054F" w:rsidP="0076054F">
      <w:pPr>
        <w:autoSpaceDE w:val="0"/>
        <w:autoSpaceDN w:val="0"/>
        <w:adjustRightInd w:val="0"/>
        <w:spacing w:after="0" w:line="240" w:lineRule="auto"/>
        <w:ind w:right="-22"/>
        <w:jc w:val="both"/>
        <w:rPr>
          <w:color w:val="000000" w:themeColor="text1"/>
        </w:rPr>
      </w:pPr>
    </w:p>
    <w:p w14:paraId="32DCE23C" w14:textId="50569A37" w:rsidR="0076054F" w:rsidRDefault="0076054F" w:rsidP="00C476B5">
      <w:pPr>
        <w:autoSpaceDE w:val="0"/>
        <w:autoSpaceDN w:val="0"/>
        <w:adjustRightInd w:val="0"/>
        <w:spacing w:after="0" w:line="240" w:lineRule="auto"/>
        <w:ind w:left="720" w:right="662"/>
        <w:jc w:val="both"/>
        <w:rPr>
          <w:color w:val="000000" w:themeColor="text1"/>
        </w:rPr>
      </w:pPr>
      <w:r>
        <w:rPr>
          <w:color w:val="000000" w:themeColor="text1"/>
        </w:rPr>
        <w:t xml:space="preserve">[It was] a </w:t>
      </w:r>
      <w:proofErr w:type="spellStart"/>
      <w:r>
        <w:rPr>
          <w:color w:val="000000" w:themeColor="text1"/>
        </w:rPr>
        <w:t>fun</w:t>
      </w:r>
      <w:r w:rsidR="00C476B5">
        <w:rPr>
          <w:color w:val="000000" w:themeColor="text1"/>
        </w:rPr>
        <w:t>d</w:t>
      </w:r>
      <w:r>
        <w:rPr>
          <w:color w:val="000000" w:themeColor="text1"/>
        </w:rPr>
        <w:t>amentall</w:t>
      </w:r>
      <w:proofErr w:type="spellEnd"/>
      <w:r>
        <w:rPr>
          <w:color w:val="000000" w:themeColor="text1"/>
        </w:rPr>
        <w:t xml:space="preserve"> truth, </w:t>
      </w:r>
      <w:proofErr w:type="spellStart"/>
      <w:r>
        <w:rPr>
          <w:color w:val="000000" w:themeColor="text1"/>
        </w:rPr>
        <w:t>essentiall</w:t>
      </w:r>
      <w:proofErr w:type="spellEnd"/>
      <w:r>
        <w:rPr>
          <w:color w:val="000000" w:themeColor="text1"/>
        </w:rPr>
        <w:t xml:space="preserve"> to the constitution and government to this </w:t>
      </w:r>
      <w:proofErr w:type="spellStart"/>
      <w:r>
        <w:rPr>
          <w:color w:val="000000" w:themeColor="text1"/>
        </w:rPr>
        <w:t>kingdome</w:t>
      </w:r>
      <w:proofErr w:type="spellEnd"/>
      <w:r>
        <w:rPr>
          <w:color w:val="000000" w:themeColor="text1"/>
        </w:rPr>
        <w:t xml:space="preserve">, </w:t>
      </w:r>
      <w:proofErr w:type="gramStart"/>
      <w:r>
        <w:rPr>
          <w:color w:val="000000" w:themeColor="text1"/>
        </w:rPr>
        <w:t>an</w:t>
      </w:r>
      <w:proofErr w:type="gramEnd"/>
      <w:r>
        <w:rPr>
          <w:color w:val="000000" w:themeColor="text1"/>
        </w:rPr>
        <w:t xml:space="preserve"> hereditary liberty and </w:t>
      </w:r>
      <w:proofErr w:type="spellStart"/>
      <w:r>
        <w:rPr>
          <w:color w:val="000000" w:themeColor="text1"/>
        </w:rPr>
        <w:t>priviledge</w:t>
      </w:r>
      <w:proofErr w:type="spellEnd"/>
      <w:r>
        <w:rPr>
          <w:color w:val="000000" w:themeColor="text1"/>
        </w:rPr>
        <w:t xml:space="preserve"> of all the free-borne subjects of the land, that no tax, </w:t>
      </w:r>
      <w:proofErr w:type="spellStart"/>
      <w:r>
        <w:rPr>
          <w:color w:val="000000" w:themeColor="text1"/>
        </w:rPr>
        <w:t>tallage</w:t>
      </w:r>
      <w:proofErr w:type="spellEnd"/>
      <w:r>
        <w:rPr>
          <w:color w:val="000000" w:themeColor="text1"/>
        </w:rPr>
        <w:t>, or other charge, might be laid upon us without common consent in parliament.</w:t>
      </w:r>
      <w:r>
        <w:rPr>
          <w:rStyle w:val="FootnoteReference"/>
          <w:color w:val="000000" w:themeColor="text1"/>
        </w:rPr>
        <w:footnoteReference w:id="120"/>
      </w:r>
    </w:p>
    <w:p w14:paraId="1CDB1BC9" w14:textId="1CC5BAE6" w:rsidR="002235D2" w:rsidRDefault="002235D2" w:rsidP="002235D2">
      <w:pPr>
        <w:autoSpaceDE w:val="0"/>
        <w:autoSpaceDN w:val="0"/>
        <w:adjustRightInd w:val="0"/>
        <w:spacing w:after="0" w:line="240" w:lineRule="auto"/>
        <w:ind w:right="-22"/>
        <w:jc w:val="both"/>
        <w:rPr>
          <w:color w:val="000000" w:themeColor="text1"/>
        </w:rPr>
      </w:pPr>
    </w:p>
    <w:p w14:paraId="689FCAF7" w14:textId="553A5586" w:rsidR="002235D2" w:rsidRDefault="002235D2" w:rsidP="002235D2">
      <w:pPr>
        <w:autoSpaceDE w:val="0"/>
        <w:autoSpaceDN w:val="0"/>
        <w:adjustRightInd w:val="0"/>
        <w:spacing w:after="0" w:line="240" w:lineRule="auto"/>
        <w:ind w:right="-22"/>
        <w:jc w:val="both"/>
        <w:rPr>
          <w:color w:val="000000" w:themeColor="text1"/>
        </w:rPr>
      </w:pPr>
    </w:p>
    <w:p w14:paraId="39EFCFD2" w14:textId="51210F6B" w:rsidR="002235D2" w:rsidRDefault="002235D2" w:rsidP="002235D2">
      <w:pPr>
        <w:autoSpaceDE w:val="0"/>
        <w:autoSpaceDN w:val="0"/>
        <w:adjustRightInd w:val="0"/>
        <w:spacing w:after="0" w:line="240" w:lineRule="auto"/>
        <w:ind w:right="-22"/>
        <w:jc w:val="center"/>
        <w:rPr>
          <w:color w:val="000000" w:themeColor="text1"/>
        </w:rPr>
      </w:pPr>
      <w:r>
        <w:rPr>
          <w:color w:val="000000" w:themeColor="text1"/>
        </w:rPr>
        <w:t>CONCLUDING REMARKS</w:t>
      </w:r>
    </w:p>
    <w:p w14:paraId="7C596AB0" w14:textId="0D5ED495" w:rsidR="002235D2" w:rsidRDefault="002235D2" w:rsidP="002235D2">
      <w:pPr>
        <w:autoSpaceDE w:val="0"/>
        <w:autoSpaceDN w:val="0"/>
        <w:adjustRightInd w:val="0"/>
        <w:spacing w:after="0" w:line="240" w:lineRule="auto"/>
        <w:ind w:right="-22"/>
        <w:jc w:val="both"/>
        <w:rPr>
          <w:color w:val="000000" w:themeColor="text1"/>
        </w:rPr>
      </w:pPr>
    </w:p>
    <w:p w14:paraId="0A0E0850" w14:textId="7AA21681" w:rsidR="002235D2" w:rsidRDefault="002235D2" w:rsidP="002235D2">
      <w:pPr>
        <w:autoSpaceDE w:val="0"/>
        <w:autoSpaceDN w:val="0"/>
        <w:adjustRightInd w:val="0"/>
        <w:spacing w:after="0" w:line="240" w:lineRule="auto"/>
        <w:ind w:right="-22"/>
        <w:jc w:val="both"/>
        <w:rPr>
          <w:color w:val="000000" w:themeColor="text1"/>
        </w:rPr>
      </w:pPr>
      <w:r>
        <w:rPr>
          <w:color w:val="000000" w:themeColor="text1"/>
        </w:rPr>
        <w:t xml:space="preserve">The road leading to the American Constitution’s explicit taxing powers was long, </w:t>
      </w:r>
      <w:proofErr w:type="gramStart"/>
      <w:r>
        <w:rPr>
          <w:color w:val="000000" w:themeColor="text1"/>
        </w:rPr>
        <w:t>tortuous</w:t>
      </w:r>
      <w:proofErr w:type="gramEnd"/>
      <w:r>
        <w:rPr>
          <w:color w:val="000000" w:themeColor="text1"/>
        </w:rPr>
        <w:t xml:space="preserve"> and costly in lives, blood sp</w:t>
      </w:r>
      <w:r w:rsidR="008501EF">
        <w:rPr>
          <w:color w:val="000000" w:themeColor="text1"/>
        </w:rPr>
        <w:t>ilt</w:t>
      </w:r>
      <w:r>
        <w:rPr>
          <w:color w:val="000000" w:themeColor="text1"/>
        </w:rPr>
        <w:t xml:space="preserve"> and money. To rid themselves of Great Britain’s monarchical tax overlordship, the colonists, effectively, ended up transferring that overlordship to </w:t>
      </w:r>
      <w:r w:rsidR="008501EF">
        <w:rPr>
          <w:color w:val="000000" w:themeColor="text1"/>
        </w:rPr>
        <w:t>their</w:t>
      </w:r>
      <w:r>
        <w:rPr>
          <w:color w:val="000000" w:themeColor="text1"/>
        </w:rPr>
        <w:t xml:space="preserve"> own </w:t>
      </w:r>
      <w:r w:rsidR="008501EF">
        <w:rPr>
          <w:color w:val="000000" w:themeColor="text1"/>
        </w:rPr>
        <w:t xml:space="preserve">Republican </w:t>
      </w:r>
      <w:r>
        <w:rPr>
          <w:color w:val="000000" w:themeColor="text1"/>
        </w:rPr>
        <w:t>Congress</w:t>
      </w:r>
      <w:r w:rsidR="008501EF">
        <w:rPr>
          <w:color w:val="000000" w:themeColor="text1"/>
        </w:rPr>
        <w:t xml:space="preserve">. The fact that they managed to do </w:t>
      </w:r>
      <w:proofErr w:type="gramStart"/>
      <w:r w:rsidR="008501EF">
        <w:rPr>
          <w:color w:val="000000" w:themeColor="text1"/>
        </w:rPr>
        <w:t>this, and</w:t>
      </w:r>
      <w:proofErr w:type="gramEnd"/>
      <w:r w:rsidR="008501EF">
        <w:rPr>
          <w:color w:val="000000" w:themeColor="text1"/>
        </w:rPr>
        <w:t xml:space="preserve"> establish their own national taxing powers of a similar kind to the British ones they had thrown off</w:t>
      </w:r>
      <w:r w:rsidR="00D00151">
        <w:rPr>
          <w:color w:val="000000" w:themeColor="text1"/>
        </w:rPr>
        <w:t>,</w:t>
      </w:r>
      <w:r w:rsidR="008501EF">
        <w:rPr>
          <w:color w:val="000000" w:themeColor="text1"/>
        </w:rPr>
        <w:t xml:space="preserve"> </w:t>
      </w:r>
      <w:r w:rsidR="00A76580">
        <w:rPr>
          <w:color w:val="000000" w:themeColor="text1"/>
        </w:rPr>
        <w:t xml:space="preserve">without further armed conflict is testament </w:t>
      </w:r>
      <w:r w:rsidR="008501EF">
        <w:rPr>
          <w:color w:val="000000" w:themeColor="text1"/>
        </w:rPr>
        <w:t xml:space="preserve">to that cost, but also to their willingness to debate and compromise. </w:t>
      </w:r>
      <w:r w:rsidR="003B2FBE">
        <w:rPr>
          <w:color w:val="000000" w:themeColor="text1"/>
        </w:rPr>
        <w:t xml:space="preserve">The key issue, of course, is that tax would be levied by a body to which they could send representatives, rather than by an overseas power to which they could send none. </w:t>
      </w:r>
      <w:r w:rsidR="008501EF">
        <w:rPr>
          <w:color w:val="000000" w:themeColor="text1"/>
        </w:rPr>
        <w:t>What emerges from the review of taxation above is the degree of sophistication</w:t>
      </w:r>
      <w:r w:rsidR="00A76580">
        <w:rPr>
          <w:color w:val="000000" w:themeColor="text1"/>
        </w:rPr>
        <w:t xml:space="preserve"> that the individual states had reached in adapting or imposing tax to meet their own needs and state of development, which was not appreciated by the British Parliament in London, which was primarily concerned with its own finances and protection of its own trade and home markets. Conceptually, in terms of the ‘faculty tax</w:t>
      </w:r>
      <w:r w:rsidR="00716789">
        <w:rPr>
          <w:color w:val="000000" w:themeColor="text1"/>
        </w:rPr>
        <w:t>’</w:t>
      </w:r>
      <w:r w:rsidR="00A76580">
        <w:rPr>
          <w:color w:val="000000" w:themeColor="text1"/>
        </w:rPr>
        <w:t>, many of the colonies had advanced the conceptual development of tax well beyond anything in place in Great Britain, and it is more than understandable that, after the War, the individual states did not want to give up their state taxing rights. Before, during and after the War, tax remained a contentious and sensitive topic.</w:t>
      </w:r>
    </w:p>
    <w:p w14:paraId="5B1BA4BD" w14:textId="4E8BD361" w:rsidR="00A76580" w:rsidRDefault="00A76580" w:rsidP="002235D2">
      <w:pPr>
        <w:autoSpaceDE w:val="0"/>
        <w:autoSpaceDN w:val="0"/>
        <w:adjustRightInd w:val="0"/>
        <w:spacing w:after="0" w:line="240" w:lineRule="auto"/>
        <w:ind w:right="-22"/>
        <w:jc w:val="both"/>
        <w:rPr>
          <w:color w:val="000000" w:themeColor="text1"/>
        </w:rPr>
      </w:pPr>
    </w:p>
    <w:p w14:paraId="21B22102" w14:textId="0A79FA32" w:rsidR="002235D2" w:rsidRPr="008C374E" w:rsidRDefault="00A76580" w:rsidP="007F3851">
      <w:pPr>
        <w:autoSpaceDE w:val="0"/>
        <w:autoSpaceDN w:val="0"/>
        <w:adjustRightInd w:val="0"/>
        <w:spacing w:after="0" w:line="240" w:lineRule="auto"/>
        <w:ind w:right="-22" w:firstLine="720"/>
        <w:jc w:val="both"/>
        <w:rPr>
          <w:color w:val="000000" w:themeColor="text1"/>
        </w:rPr>
      </w:pPr>
      <w:r>
        <w:rPr>
          <w:color w:val="000000" w:themeColor="text1"/>
        </w:rPr>
        <w:t>There were many thinkers who influenced the colonists and Founding Fathers, as the work of Lutz and others has shown.</w:t>
      </w:r>
      <w:r w:rsidR="007F3851">
        <w:rPr>
          <w:color w:val="000000" w:themeColor="text1"/>
        </w:rPr>
        <w:t xml:space="preserve"> </w:t>
      </w:r>
      <w:proofErr w:type="gramStart"/>
      <w:r w:rsidR="007F3851">
        <w:rPr>
          <w:color w:val="000000" w:themeColor="text1"/>
        </w:rPr>
        <w:t>It is clear that the</w:t>
      </w:r>
      <w:proofErr w:type="gramEnd"/>
      <w:r w:rsidR="007F3851">
        <w:rPr>
          <w:color w:val="000000" w:themeColor="text1"/>
        </w:rPr>
        <w:t xml:space="preserve"> forerunners in terms of influence as regards tax were Locke, Montesquieu and Hume, but what is particularly interesting is that both sides of the tax debate, the Federalists and the Anti-Federalists, knew their works so intimately and both cited them or showed their influence in their support or otherwise for the taxing powers incorporated into the Constitution in regard to the rule of law, consent and custom.</w:t>
      </w:r>
      <w:r w:rsidR="003B2FBE">
        <w:rPr>
          <w:color w:val="000000" w:themeColor="text1"/>
        </w:rPr>
        <w:t xml:space="preserve"> It is</w:t>
      </w:r>
      <w:r w:rsidR="00150391">
        <w:rPr>
          <w:color w:val="000000" w:themeColor="text1"/>
        </w:rPr>
        <w:t xml:space="preserve">, perhaps, surprising that the works of Thomas Paine and Jean-Jacques Rousseau do not feature </w:t>
      </w:r>
      <w:r w:rsidR="00F82D1D">
        <w:rPr>
          <w:color w:val="000000" w:themeColor="text1"/>
        </w:rPr>
        <w:t xml:space="preserve">more explicitly </w:t>
      </w:r>
      <w:r w:rsidR="00150391">
        <w:rPr>
          <w:color w:val="000000" w:themeColor="text1"/>
        </w:rPr>
        <w:t xml:space="preserve">as significant influences on the Federalists or the Anti-Federalists, </w:t>
      </w:r>
      <w:r w:rsidR="001F384C">
        <w:rPr>
          <w:color w:val="000000" w:themeColor="text1"/>
        </w:rPr>
        <w:t>since</w:t>
      </w:r>
      <w:r w:rsidR="00150391">
        <w:rPr>
          <w:color w:val="000000" w:themeColor="text1"/>
        </w:rPr>
        <w:t xml:space="preserve"> both were noted for their social contract views/writings. In the case of Paine, it might be because he was himself regarded as one of the Founding Fathers (see earlier</w:t>
      </w:r>
      <w:proofErr w:type="gramStart"/>
      <w:r w:rsidR="00150391">
        <w:rPr>
          <w:color w:val="000000" w:themeColor="text1"/>
        </w:rPr>
        <w:t xml:space="preserve">), </w:t>
      </w:r>
      <w:r w:rsidR="00F82D1D">
        <w:rPr>
          <w:color w:val="000000" w:themeColor="text1"/>
        </w:rPr>
        <w:t>and</w:t>
      </w:r>
      <w:proofErr w:type="gramEnd"/>
      <w:r w:rsidR="00150391">
        <w:rPr>
          <w:color w:val="000000" w:themeColor="text1"/>
        </w:rPr>
        <w:t xml:space="preserve"> was </w:t>
      </w:r>
      <w:r w:rsidR="001F384C">
        <w:rPr>
          <w:color w:val="000000" w:themeColor="text1"/>
        </w:rPr>
        <w:t>considered as writing as one of that body</w:t>
      </w:r>
      <w:r w:rsidR="00150391">
        <w:rPr>
          <w:color w:val="000000" w:themeColor="text1"/>
        </w:rPr>
        <w:t xml:space="preserve">. </w:t>
      </w:r>
      <w:r w:rsidR="00135925">
        <w:rPr>
          <w:color w:val="000000" w:themeColor="text1"/>
        </w:rPr>
        <w:t>Rousseau’s apparent lack of visibility</w:t>
      </w:r>
      <w:r w:rsidR="00F855C6">
        <w:rPr>
          <w:color w:val="000000" w:themeColor="text1"/>
        </w:rPr>
        <w:t xml:space="preserve"> might</w:t>
      </w:r>
      <w:r w:rsidR="00DA59AE">
        <w:rPr>
          <w:color w:val="000000" w:themeColor="text1"/>
        </w:rPr>
        <w:t xml:space="preserve">, possibly, be attributable to </w:t>
      </w:r>
      <w:r w:rsidR="00F82D1D">
        <w:rPr>
          <w:color w:val="000000" w:themeColor="text1"/>
        </w:rPr>
        <w:t>his</w:t>
      </w:r>
      <w:r w:rsidR="00DA59AE">
        <w:rPr>
          <w:color w:val="000000" w:themeColor="text1"/>
        </w:rPr>
        <w:t xml:space="preserve"> original work not circulating widely</w:t>
      </w:r>
      <w:r w:rsidR="00D549A7">
        <w:rPr>
          <w:color w:val="000000" w:themeColor="text1"/>
        </w:rPr>
        <w:t xml:space="preserve"> in the colonies</w:t>
      </w:r>
      <w:r w:rsidR="00416D15">
        <w:rPr>
          <w:color w:val="000000" w:themeColor="text1"/>
        </w:rPr>
        <w:t xml:space="preserve">, either in its original French </w:t>
      </w:r>
      <w:r w:rsidR="005242CC">
        <w:rPr>
          <w:color w:val="000000" w:themeColor="text1"/>
        </w:rPr>
        <w:t xml:space="preserve">(many there would have understood/spoken French) </w:t>
      </w:r>
      <w:r w:rsidR="00416D15">
        <w:rPr>
          <w:color w:val="000000" w:themeColor="text1"/>
        </w:rPr>
        <w:t xml:space="preserve">or in </w:t>
      </w:r>
      <w:r w:rsidR="00F82D1D">
        <w:rPr>
          <w:color w:val="000000" w:themeColor="text1"/>
        </w:rPr>
        <w:t>an English translation</w:t>
      </w:r>
      <w:r w:rsidR="00D549A7">
        <w:rPr>
          <w:color w:val="000000" w:themeColor="text1"/>
        </w:rPr>
        <w:t>, given how heavily it was initially censored.</w:t>
      </w:r>
      <w:r w:rsidR="00416D15">
        <w:rPr>
          <w:color w:val="000000" w:themeColor="text1"/>
        </w:rPr>
        <w:t xml:space="preserve"> </w:t>
      </w:r>
      <w:r w:rsidR="001F384C">
        <w:rPr>
          <w:color w:val="000000" w:themeColor="text1"/>
        </w:rPr>
        <w:t xml:space="preserve">Montesquieu’s works, </w:t>
      </w:r>
      <w:r w:rsidR="00D549A7">
        <w:rPr>
          <w:color w:val="000000" w:themeColor="text1"/>
        </w:rPr>
        <w:t xml:space="preserve">although written likewise originally in French, had been </w:t>
      </w:r>
      <w:r w:rsidR="001F384C">
        <w:rPr>
          <w:color w:val="000000" w:themeColor="text1"/>
        </w:rPr>
        <w:t>widely available in English from the 1750s</w:t>
      </w:r>
      <w:r w:rsidR="005242CC">
        <w:rPr>
          <w:color w:val="000000" w:themeColor="text1"/>
        </w:rPr>
        <w:t xml:space="preserve"> and had had a longer period during which to exert their influence</w:t>
      </w:r>
      <w:r w:rsidR="001F384C">
        <w:rPr>
          <w:color w:val="000000" w:themeColor="text1"/>
        </w:rPr>
        <w:t xml:space="preserve">. </w:t>
      </w:r>
      <w:r w:rsidR="00D549A7">
        <w:rPr>
          <w:color w:val="000000" w:themeColor="text1"/>
        </w:rPr>
        <w:t>Much further investigation remains to be done.</w:t>
      </w:r>
    </w:p>
    <w:sectPr w:rsidR="002235D2" w:rsidRPr="008C374E" w:rsidSect="003845E5">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30CD" w14:textId="77777777" w:rsidR="00EA467D" w:rsidRDefault="00EA467D" w:rsidP="008F1A27">
      <w:pPr>
        <w:spacing w:after="0" w:line="240" w:lineRule="auto"/>
      </w:pPr>
      <w:r>
        <w:separator/>
      </w:r>
    </w:p>
  </w:endnote>
  <w:endnote w:type="continuationSeparator" w:id="0">
    <w:p w14:paraId="00E4231F" w14:textId="77777777" w:rsidR="00EA467D" w:rsidRDefault="00EA467D" w:rsidP="008F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591055"/>
      <w:docPartObj>
        <w:docPartGallery w:val="Page Numbers (Bottom of Page)"/>
        <w:docPartUnique/>
      </w:docPartObj>
    </w:sdtPr>
    <w:sdtEndPr>
      <w:rPr>
        <w:noProof/>
        <w:sz w:val="20"/>
        <w:szCs w:val="20"/>
      </w:rPr>
    </w:sdtEndPr>
    <w:sdtContent>
      <w:p w14:paraId="0E858D95" w14:textId="5D2148E0" w:rsidR="008F1A27" w:rsidRPr="008F1A27" w:rsidRDefault="008F1A27">
        <w:pPr>
          <w:pStyle w:val="Footer"/>
          <w:jc w:val="center"/>
          <w:rPr>
            <w:sz w:val="20"/>
            <w:szCs w:val="20"/>
          </w:rPr>
        </w:pPr>
        <w:r w:rsidRPr="008F1A27">
          <w:rPr>
            <w:sz w:val="20"/>
            <w:szCs w:val="20"/>
          </w:rPr>
          <w:fldChar w:fldCharType="begin"/>
        </w:r>
        <w:r w:rsidRPr="008F1A27">
          <w:rPr>
            <w:sz w:val="20"/>
            <w:szCs w:val="20"/>
          </w:rPr>
          <w:instrText xml:space="preserve"> PAGE   \* MERGEFORMAT </w:instrText>
        </w:r>
        <w:r w:rsidRPr="008F1A27">
          <w:rPr>
            <w:sz w:val="20"/>
            <w:szCs w:val="20"/>
          </w:rPr>
          <w:fldChar w:fldCharType="separate"/>
        </w:r>
        <w:r w:rsidRPr="008F1A27">
          <w:rPr>
            <w:noProof/>
            <w:sz w:val="20"/>
            <w:szCs w:val="20"/>
          </w:rPr>
          <w:t>2</w:t>
        </w:r>
        <w:r w:rsidRPr="008F1A27">
          <w:rPr>
            <w:noProof/>
            <w:sz w:val="20"/>
            <w:szCs w:val="20"/>
          </w:rPr>
          <w:fldChar w:fldCharType="end"/>
        </w:r>
      </w:p>
    </w:sdtContent>
  </w:sdt>
  <w:p w14:paraId="693CDC5F" w14:textId="77777777" w:rsidR="008F1A27" w:rsidRDefault="008F1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6310" w14:textId="77777777" w:rsidR="00EA467D" w:rsidRDefault="00EA467D" w:rsidP="008F1A27">
      <w:pPr>
        <w:spacing w:after="0" w:line="240" w:lineRule="auto"/>
      </w:pPr>
      <w:r>
        <w:separator/>
      </w:r>
    </w:p>
  </w:footnote>
  <w:footnote w:type="continuationSeparator" w:id="0">
    <w:p w14:paraId="1DC2E364" w14:textId="77777777" w:rsidR="00EA467D" w:rsidRDefault="00EA467D" w:rsidP="008F1A27">
      <w:pPr>
        <w:spacing w:after="0" w:line="240" w:lineRule="auto"/>
      </w:pPr>
      <w:r>
        <w:continuationSeparator/>
      </w:r>
    </w:p>
  </w:footnote>
  <w:footnote w:id="1">
    <w:p w14:paraId="4D08422A" w14:textId="35412E98" w:rsidR="001A0CBA" w:rsidRPr="002D3A5C" w:rsidRDefault="001A0CBA" w:rsidP="002D3A5C">
      <w:pPr>
        <w:pStyle w:val="FootnoteText"/>
        <w:jc w:val="both"/>
      </w:pPr>
      <w:r w:rsidRPr="002D3A5C">
        <w:rPr>
          <w:rStyle w:val="FootnoteReference"/>
        </w:rPr>
        <w:footnoteRef/>
      </w:r>
      <w:r w:rsidRPr="002D3A5C">
        <w:t xml:space="preserve"> For these two works, we use the online versions, B Bailey (ed), available from </w:t>
      </w:r>
      <w:r w:rsidRPr="002D3A5C">
        <w:rPr>
          <w:color w:val="000000"/>
        </w:rPr>
        <w:t xml:space="preserve">https://www.thefederalistpapers.org/wp-content/uploads/2012/12/The-Complete-Federalist-Papers.pdf and </w:t>
      </w:r>
      <w:r w:rsidRPr="002D3A5C">
        <w:t>https://www.thefederalistpapers.org/wp-content/uploads/2012/11/The-Anti-Federalist-Papers-Special-Edition.pdf (accessed 8 June 2021).</w:t>
      </w:r>
    </w:p>
  </w:footnote>
  <w:footnote w:id="2">
    <w:p w14:paraId="2C62EFCC" w14:textId="5B6F95DB" w:rsidR="00050DD4" w:rsidRPr="002D3A5C" w:rsidRDefault="00050DD4" w:rsidP="002D3A5C">
      <w:pPr>
        <w:pStyle w:val="Default"/>
        <w:jc w:val="both"/>
        <w:rPr>
          <w:rFonts w:ascii="Times New Roman" w:hAnsi="Times New Roman" w:cs="Times New Roman"/>
          <w:sz w:val="20"/>
          <w:szCs w:val="20"/>
        </w:rPr>
      </w:pPr>
      <w:r w:rsidRPr="002D3A5C">
        <w:rPr>
          <w:rStyle w:val="FootnoteReference"/>
          <w:rFonts w:ascii="Times New Roman" w:hAnsi="Times New Roman" w:cs="Times New Roman"/>
          <w:sz w:val="20"/>
          <w:szCs w:val="20"/>
        </w:rPr>
        <w:footnoteRef/>
      </w:r>
      <w:r w:rsidRPr="002D3A5C">
        <w:rPr>
          <w:rFonts w:ascii="Times New Roman" w:hAnsi="Times New Roman" w:cs="Times New Roman"/>
          <w:sz w:val="20"/>
          <w:szCs w:val="20"/>
        </w:rPr>
        <w:t xml:space="preserve"> </w:t>
      </w:r>
      <w:r w:rsidR="0068582E" w:rsidRPr="002D3A5C">
        <w:rPr>
          <w:rFonts w:ascii="Times New Roman" w:hAnsi="Times New Roman" w:cs="Times New Roman"/>
          <w:sz w:val="20"/>
          <w:szCs w:val="20"/>
        </w:rPr>
        <w:t xml:space="preserve">The 13 colonies </w:t>
      </w:r>
      <w:r w:rsidR="00B40886" w:rsidRPr="002D3A5C">
        <w:rPr>
          <w:rFonts w:ascii="Times New Roman" w:hAnsi="Times New Roman" w:cs="Times New Roman"/>
          <w:sz w:val="20"/>
          <w:szCs w:val="20"/>
        </w:rPr>
        <w:t>were New Hampshire, Massachusetts, Rhode Island</w:t>
      </w:r>
      <w:r w:rsidR="00721D98" w:rsidRPr="002D3A5C">
        <w:rPr>
          <w:rFonts w:ascii="Times New Roman" w:hAnsi="Times New Roman" w:cs="Times New Roman"/>
          <w:sz w:val="20"/>
          <w:szCs w:val="20"/>
        </w:rPr>
        <w:t>,</w:t>
      </w:r>
      <w:r w:rsidR="00B40886" w:rsidRPr="002D3A5C">
        <w:rPr>
          <w:rFonts w:ascii="Times New Roman" w:hAnsi="Times New Roman" w:cs="Times New Roman"/>
          <w:sz w:val="20"/>
          <w:szCs w:val="20"/>
        </w:rPr>
        <w:t xml:space="preserve"> Connecticut (collectively referred to as New England); New York, New Jersey, Pennsylvania, Delaware (the Middle grouping); and Maryland, Virginia, North Carolina, </w:t>
      </w:r>
      <w:proofErr w:type="gramStart"/>
      <w:r w:rsidR="00B40886" w:rsidRPr="002D3A5C">
        <w:rPr>
          <w:rFonts w:ascii="Times New Roman" w:hAnsi="Times New Roman" w:cs="Times New Roman"/>
          <w:sz w:val="20"/>
          <w:szCs w:val="20"/>
        </w:rPr>
        <w:t>South Carolina</w:t>
      </w:r>
      <w:proofErr w:type="gramEnd"/>
      <w:r w:rsidR="00B40886" w:rsidRPr="002D3A5C">
        <w:rPr>
          <w:rFonts w:ascii="Times New Roman" w:hAnsi="Times New Roman" w:cs="Times New Roman"/>
          <w:sz w:val="20"/>
          <w:szCs w:val="20"/>
        </w:rPr>
        <w:t xml:space="preserve"> and Georgia (the Southern grouping).</w:t>
      </w:r>
      <w:r w:rsidR="00FB0663" w:rsidRPr="002D3A5C">
        <w:rPr>
          <w:rFonts w:ascii="Times New Roman" w:hAnsi="Times New Roman" w:cs="Times New Roman"/>
          <w:sz w:val="20"/>
          <w:szCs w:val="20"/>
        </w:rPr>
        <w:t xml:space="preserve"> In addition to the mainland American colonies, there were others in the Caribbean and western Atlantic – </w:t>
      </w:r>
      <w:r w:rsidR="00FB0663" w:rsidRPr="002D3A5C">
        <w:rPr>
          <w:rFonts w:ascii="Times New Roman" w:hAnsi="Times New Roman" w:cs="Times New Roman"/>
          <w:color w:val="auto"/>
          <w:sz w:val="20"/>
          <w:szCs w:val="20"/>
        </w:rPr>
        <w:t xml:space="preserve">the Bahamas, Jamaica, and the lesser Antilles, comprising Anguilla, Antigua, Barbados, Barbuda, Dominica, Grenada, Montserrat, Nevis, St. Kitts, St. Vincent, </w:t>
      </w:r>
      <w:proofErr w:type="gramStart"/>
      <w:r w:rsidR="00FB0663" w:rsidRPr="002D3A5C">
        <w:rPr>
          <w:rFonts w:ascii="Times New Roman" w:hAnsi="Times New Roman" w:cs="Times New Roman"/>
          <w:color w:val="auto"/>
          <w:sz w:val="20"/>
          <w:szCs w:val="20"/>
        </w:rPr>
        <w:t>Tobago</w:t>
      </w:r>
      <w:proofErr w:type="gramEnd"/>
      <w:r w:rsidR="00FB0663" w:rsidRPr="002D3A5C">
        <w:rPr>
          <w:rFonts w:ascii="Times New Roman" w:hAnsi="Times New Roman" w:cs="Times New Roman"/>
          <w:color w:val="auto"/>
          <w:sz w:val="20"/>
          <w:szCs w:val="20"/>
        </w:rPr>
        <w:t xml:space="preserve"> and Tortola</w:t>
      </w:r>
      <w:r w:rsidR="00FB0663" w:rsidRPr="002D3A5C">
        <w:rPr>
          <w:rFonts w:ascii="Times New Roman" w:hAnsi="Times New Roman" w:cs="Times New Roman"/>
          <w:sz w:val="20"/>
          <w:szCs w:val="20"/>
        </w:rPr>
        <w:t>.</w:t>
      </w:r>
    </w:p>
  </w:footnote>
  <w:footnote w:id="3">
    <w:p w14:paraId="27EB6484" w14:textId="3B669865" w:rsidR="00617602" w:rsidRPr="002D3A5C" w:rsidRDefault="00617602" w:rsidP="002D3A5C">
      <w:pPr>
        <w:shd w:val="clear" w:color="auto" w:fill="FFFFFF"/>
        <w:spacing w:after="0" w:line="240" w:lineRule="auto"/>
        <w:jc w:val="both"/>
        <w:rPr>
          <w:rFonts w:eastAsia="Times New Roman"/>
          <w:color w:val="111111"/>
          <w:sz w:val="20"/>
          <w:szCs w:val="20"/>
          <w:lang w:eastAsia="en-GB"/>
        </w:rPr>
      </w:pPr>
      <w:r w:rsidRPr="002D3A5C">
        <w:rPr>
          <w:rStyle w:val="FootnoteReference"/>
          <w:sz w:val="20"/>
          <w:szCs w:val="20"/>
        </w:rPr>
        <w:footnoteRef/>
      </w:r>
      <w:r w:rsidRPr="002D3A5C">
        <w:rPr>
          <w:sz w:val="20"/>
          <w:szCs w:val="20"/>
        </w:rPr>
        <w:t xml:space="preserve"> 6 Geo </w:t>
      </w:r>
      <w:r w:rsidR="00951849" w:rsidRPr="002D3A5C">
        <w:rPr>
          <w:sz w:val="20"/>
          <w:szCs w:val="20"/>
        </w:rPr>
        <w:t>2</w:t>
      </w:r>
      <w:r w:rsidRPr="002D3A5C">
        <w:rPr>
          <w:sz w:val="20"/>
          <w:szCs w:val="20"/>
        </w:rPr>
        <w:t xml:space="preserve"> c 13.</w:t>
      </w:r>
      <w:r w:rsidR="009A2257" w:rsidRPr="002D3A5C">
        <w:rPr>
          <w:sz w:val="20"/>
          <w:szCs w:val="20"/>
        </w:rPr>
        <w:t xml:space="preserve"> This was one of a series of so-called Navigation Acts, designed to regulate </w:t>
      </w:r>
      <w:r w:rsidR="009A2257" w:rsidRPr="002D3A5C">
        <w:rPr>
          <w:rFonts w:eastAsia="Times New Roman"/>
          <w:color w:val="111111"/>
          <w:sz w:val="20"/>
          <w:szCs w:val="20"/>
          <w:lang w:eastAsia="en-GB"/>
        </w:rPr>
        <w:t>maritime commerce</w:t>
      </w:r>
      <w:r w:rsidR="006D793D" w:rsidRPr="002D3A5C">
        <w:rPr>
          <w:rFonts w:eastAsia="Times New Roman"/>
          <w:color w:val="111111"/>
          <w:sz w:val="20"/>
          <w:szCs w:val="20"/>
          <w:lang w:eastAsia="en-GB"/>
        </w:rPr>
        <w:t>, which overall increased</w:t>
      </w:r>
      <w:r w:rsidR="009A2257" w:rsidRPr="002D3A5C">
        <w:rPr>
          <w:rFonts w:eastAsia="Times New Roman"/>
          <w:color w:val="111111"/>
          <w:sz w:val="20"/>
          <w:szCs w:val="20"/>
          <w:lang w:eastAsia="en-GB"/>
        </w:rPr>
        <w:t xml:space="preserve"> revenue </w:t>
      </w:r>
      <w:r w:rsidR="006D793D" w:rsidRPr="002D3A5C">
        <w:rPr>
          <w:rFonts w:eastAsia="Times New Roman"/>
          <w:color w:val="111111"/>
          <w:sz w:val="20"/>
          <w:szCs w:val="20"/>
          <w:lang w:eastAsia="en-GB"/>
        </w:rPr>
        <w:t xml:space="preserve">from the British colonies, </w:t>
      </w:r>
      <w:r w:rsidR="009A2257" w:rsidRPr="002D3A5C">
        <w:rPr>
          <w:rFonts w:eastAsia="Times New Roman"/>
          <w:color w:val="111111"/>
          <w:sz w:val="20"/>
          <w:szCs w:val="20"/>
          <w:lang w:eastAsia="en-GB"/>
        </w:rPr>
        <w:t xml:space="preserve">by taxing the goods </w:t>
      </w:r>
      <w:r w:rsidR="005F0805" w:rsidRPr="002D3A5C">
        <w:rPr>
          <w:rFonts w:eastAsia="Times New Roman"/>
          <w:color w:val="111111"/>
          <w:sz w:val="20"/>
          <w:szCs w:val="20"/>
          <w:lang w:eastAsia="en-GB"/>
        </w:rPr>
        <w:t>imported to and exported by the colonies</w:t>
      </w:r>
      <w:r w:rsidR="006D793D" w:rsidRPr="002D3A5C">
        <w:rPr>
          <w:rFonts w:eastAsia="Times New Roman"/>
          <w:color w:val="111111"/>
          <w:sz w:val="20"/>
          <w:szCs w:val="20"/>
          <w:lang w:eastAsia="en-GB"/>
        </w:rPr>
        <w:t>.</w:t>
      </w:r>
      <w:r w:rsidR="00D11176" w:rsidRPr="002D3A5C">
        <w:rPr>
          <w:rFonts w:eastAsia="Times New Roman"/>
          <w:color w:val="111111"/>
          <w:sz w:val="20"/>
          <w:szCs w:val="20"/>
          <w:lang w:eastAsia="en-GB"/>
        </w:rPr>
        <w:t xml:space="preserve"> The American colonies had been affected by </w:t>
      </w:r>
      <w:proofErr w:type="gramStart"/>
      <w:r w:rsidR="00D11176" w:rsidRPr="002D3A5C">
        <w:rPr>
          <w:rFonts w:eastAsia="Times New Roman"/>
          <w:color w:val="111111"/>
          <w:sz w:val="20"/>
          <w:szCs w:val="20"/>
          <w:lang w:eastAsia="en-GB"/>
        </w:rPr>
        <w:t>a number of</w:t>
      </w:r>
      <w:proofErr w:type="gramEnd"/>
      <w:r w:rsidR="00D11176" w:rsidRPr="002D3A5C">
        <w:rPr>
          <w:rFonts w:eastAsia="Times New Roman"/>
          <w:color w:val="111111"/>
          <w:sz w:val="20"/>
          <w:szCs w:val="20"/>
          <w:lang w:eastAsia="en-GB"/>
        </w:rPr>
        <w:t xml:space="preserve"> Acts of Parliament, designed to protect </w:t>
      </w:r>
      <w:r w:rsidR="0091516A" w:rsidRPr="002D3A5C">
        <w:rPr>
          <w:rFonts w:eastAsia="Times New Roman"/>
          <w:color w:val="111111"/>
          <w:sz w:val="20"/>
          <w:szCs w:val="20"/>
          <w:lang w:eastAsia="en-GB"/>
        </w:rPr>
        <w:t>British</w:t>
      </w:r>
      <w:r w:rsidR="00D11176" w:rsidRPr="002D3A5C">
        <w:rPr>
          <w:rFonts w:eastAsia="Times New Roman"/>
          <w:color w:val="111111"/>
          <w:sz w:val="20"/>
          <w:szCs w:val="20"/>
          <w:lang w:eastAsia="en-GB"/>
        </w:rPr>
        <w:t xml:space="preserve"> trade </w:t>
      </w:r>
      <w:r w:rsidR="005449D5" w:rsidRPr="002D3A5C">
        <w:rPr>
          <w:rFonts w:eastAsia="Times New Roman"/>
          <w:color w:val="111111"/>
          <w:sz w:val="20"/>
          <w:szCs w:val="20"/>
          <w:lang w:eastAsia="en-GB"/>
        </w:rPr>
        <w:t xml:space="preserve">markets </w:t>
      </w:r>
      <w:r w:rsidR="00D11176" w:rsidRPr="002D3A5C">
        <w:rPr>
          <w:rFonts w:eastAsia="Times New Roman"/>
          <w:color w:val="111111"/>
          <w:sz w:val="20"/>
          <w:szCs w:val="20"/>
          <w:lang w:eastAsia="en-GB"/>
        </w:rPr>
        <w:t xml:space="preserve">and revenue. The 1699 Wool Act (10 W 3 c 16), for example, forbade American colonists to export wool or woollen products, including to other </w:t>
      </w:r>
      <w:r w:rsidR="005F0805" w:rsidRPr="002D3A5C">
        <w:rPr>
          <w:rFonts w:eastAsia="Times New Roman"/>
          <w:color w:val="111111"/>
          <w:sz w:val="20"/>
          <w:szCs w:val="20"/>
          <w:lang w:eastAsia="en-GB"/>
        </w:rPr>
        <w:t xml:space="preserve">mainland </w:t>
      </w:r>
      <w:r w:rsidR="00D11176" w:rsidRPr="002D3A5C">
        <w:rPr>
          <w:rFonts w:eastAsia="Times New Roman"/>
          <w:color w:val="111111"/>
          <w:sz w:val="20"/>
          <w:szCs w:val="20"/>
          <w:lang w:eastAsia="en-GB"/>
        </w:rPr>
        <w:t>colonies</w:t>
      </w:r>
      <w:r w:rsidR="0091516A" w:rsidRPr="002D3A5C">
        <w:rPr>
          <w:rFonts w:eastAsia="Times New Roman"/>
          <w:color w:val="111111"/>
          <w:sz w:val="20"/>
          <w:szCs w:val="20"/>
          <w:lang w:eastAsia="en-GB"/>
        </w:rPr>
        <w:t>,</w:t>
      </w:r>
      <w:r w:rsidR="00D11176" w:rsidRPr="002D3A5C">
        <w:rPr>
          <w:rFonts w:eastAsia="Times New Roman"/>
          <w:color w:val="111111"/>
          <w:sz w:val="20"/>
          <w:szCs w:val="20"/>
          <w:lang w:eastAsia="en-GB"/>
        </w:rPr>
        <w:t xml:space="preserve"> at a time when woollen goods exported from England bore heavy duties</w:t>
      </w:r>
      <w:r w:rsidR="005449D5" w:rsidRPr="002D3A5C">
        <w:rPr>
          <w:rFonts w:eastAsia="Times New Roman"/>
          <w:color w:val="111111"/>
          <w:sz w:val="20"/>
          <w:szCs w:val="20"/>
          <w:lang w:eastAsia="en-GB"/>
        </w:rPr>
        <w:t xml:space="preserve">. The 1732 Hat Act (5 Geo 2 c 22) restricted </w:t>
      </w:r>
      <w:r w:rsidR="00045C2D" w:rsidRPr="002D3A5C">
        <w:rPr>
          <w:rFonts w:eastAsia="Times New Roman"/>
          <w:color w:val="111111"/>
          <w:sz w:val="20"/>
          <w:szCs w:val="20"/>
          <w:lang w:eastAsia="en-GB"/>
        </w:rPr>
        <w:t xml:space="preserve">the </w:t>
      </w:r>
      <w:r w:rsidR="005449D5" w:rsidRPr="002D3A5C">
        <w:rPr>
          <w:rFonts w:eastAsia="Times New Roman"/>
          <w:color w:val="111111"/>
          <w:sz w:val="20"/>
          <w:szCs w:val="20"/>
          <w:lang w:eastAsia="en-GB"/>
        </w:rPr>
        <w:t>manufacturing, selling and exportation of hats made in the colonies.</w:t>
      </w:r>
    </w:p>
  </w:footnote>
  <w:footnote w:id="4">
    <w:p w14:paraId="6C612DCE" w14:textId="77777777" w:rsidR="0047036C" w:rsidRPr="002D3A5C" w:rsidRDefault="0047036C" w:rsidP="002D3A5C">
      <w:pPr>
        <w:pStyle w:val="FootnoteText"/>
        <w:jc w:val="both"/>
      </w:pPr>
      <w:r w:rsidRPr="002D3A5C">
        <w:rPr>
          <w:rStyle w:val="FootnoteReference"/>
        </w:rPr>
        <w:footnoteRef/>
      </w:r>
      <w:r w:rsidRPr="002D3A5C">
        <w:t xml:space="preserve"> 4 Geo 3 c 15.</w:t>
      </w:r>
    </w:p>
  </w:footnote>
  <w:footnote w:id="5">
    <w:p w14:paraId="781B9DD6" w14:textId="4E5656CD" w:rsidR="00AA5FC5" w:rsidRPr="002D3A5C" w:rsidRDefault="00AA5FC5" w:rsidP="002D3A5C">
      <w:pPr>
        <w:pStyle w:val="FootnoteText"/>
        <w:jc w:val="both"/>
      </w:pPr>
      <w:r w:rsidRPr="002D3A5C">
        <w:rPr>
          <w:rStyle w:val="FootnoteReference"/>
        </w:rPr>
        <w:footnoteRef/>
      </w:r>
      <w:r w:rsidRPr="002D3A5C">
        <w:t xml:space="preserve"> </w:t>
      </w:r>
      <w:r w:rsidR="006C249A" w:rsidRPr="002D3A5C">
        <w:t>There is no</w:t>
      </w:r>
      <w:r w:rsidRPr="002D3A5C">
        <w:t xml:space="preserve"> definitive list of </w:t>
      </w:r>
      <w:r w:rsidR="006C249A" w:rsidRPr="002D3A5C">
        <w:t xml:space="preserve">the individuals who might be categorised as </w:t>
      </w:r>
      <w:r w:rsidRPr="002D3A5C">
        <w:t>American Founding Fathers</w:t>
      </w:r>
      <w:r w:rsidR="00A734EB" w:rsidRPr="002D3A5C">
        <w:t xml:space="preserve">, with some sources recognising those who signed the Declaration of Independence and Constitution, </w:t>
      </w:r>
      <w:r w:rsidR="00045C2D" w:rsidRPr="002D3A5C">
        <w:t xml:space="preserve">while </w:t>
      </w:r>
      <w:r w:rsidR="00A734EB" w:rsidRPr="002D3A5C">
        <w:t xml:space="preserve">others </w:t>
      </w:r>
      <w:r w:rsidR="00045C2D" w:rsidRPr="002D3A5C">
        <w:t xml:space="preserve">would </w:t>
      </w:r>
      <w:r w:rsidR="00A734EB" w:rsidRPr="002D3A5C">
        <w:t>includ</w:t>
      </w:r>
      <w:r w:rsidR="00045C2D" w:rsidRPr="002D3A5C">
        <w:t>e</w:t>
      </w:r>
      <w:r w:rsidR="00A734EB" w:rsidRPr="002D3A5C">
        <w:t xml:space="preserve"> all the delegates to the Constitutional Convention, and yet others those who signed the 1778 Articles of Confederation, or </w:t>
      </w:r>
      <w:r w:rsidR="00D564BB" w:rsidRPr="002D3A5C">
        <w:t>otherwis</w:t>
      </w:r>
      <w:r w:rsidR="0047036C" w:rsidRPr="002D3A5C">
        <w:t>e</w:t>
      </w:r>
      <w:r w:rsidR="00A734EB" w:rsidRPr="002D3A5C">
        <w:t xml:space="preserve"> made valued contributions during the period of protests. The term ‘Founding Father</w:t>
      </w:r>
      <w:r w:rsidR="00652363" w:rsidRPr="002D3A5C">
        <w:t>s</w:t>
      </w:r>
      <w:r w:rsidR="00A734EB" w:rsidRPr="002D3A5C">
        <w:t>’ seems to have</w:t>
      </w:r>
      <w:r w:rsidR="00652363" w:rsidRPr="002D3A5C">
        <w:t xml:space="preserve"> been first used by the senator, Warren Harding, in 1916 (see RB Bernstein, </w:t>
      </w:r>
      <w:r w:rsidR="00652363" w:rsidRPr="002D3A5C">
        <w:rPr>
          <w:i/>
          <w:iCs/>
        </w:rPr>
        <w:t xml:space="preserve">Are We </w:t>
      </w:r>
      <w:proofErr w:type="gramStart"/>
      <w:r w:rsidR="00652363" w:rsidRPr="002D3A5C">
        <w:rPr>
          <w:i/>
          <w:iCs/>
        </w:rPr>
        <w:t>To</w:t>
      </w:r>
      <w:proofErr w:type="gramEnd"/>
      <w:r w:rsidR="00652363" w:rsidRPr="002D3A5C">
        <w:rPr>
          <w:i/>
          <w:iCs/>
        </w:rPr>
        <w:t xml:space="preserve"> Be a Nation</w:t>
      </w:r>
      <w:r w:rsidR="00007DD8" w:rsidRPr="002D3A5C">
        <w:rPr>
          <w:i/>
          <w:iCs/>
        </w:rPr>
        <w:t>?</w:t>
      </w:r>
      <w:r w:rsidR="00652363" w:rsidRPr="002D3A5C">
        <w:t xml:space="preserve"> (Cambridge, </w:t>
      </w:r>
      <w:r w:rsidR="004720BA" w:rsidRPr="002D3A5C">
        <w:t>Massachusetts, Harvard University Press, 2009)</w:t>
      </w:r>
      <w:r w:rsidR="006C249A" w:rsidRPr="002D3A5C">
        <w:t>: it depends on which sources one reads.</w:t>
      </w:r>
      <w:r w:rsidR="00974657" w:rsidRPr="002D3A5C">
        <w:t xml:space="preserve"> In this paper, we interpret the term widely.</w:t>
      </w:r>
    </w:p>
  </w:footnote>
  <w:footnote w:id="6">
    <w:p w14:paraId="09F7F7F2" w14:textId="05C1E05E" w:rsidR="00E63B63" w:rsidRPr="002D3A5C" w:rsidRDefault="00E63B63" w:rsidP="002D3A5C">
      <w:pPr>
        <w:pStyle w:val="FootnoteText"/>
        <w:jc w:val="both"/>
      </w:pPr>
      <w:r w:rsidRPr="002D3A5C">
        <w:rPr>
          <w:rStyle w:val="FootnoteReference"/>
        </w:rPr>
        <w:footnoteRef/>
      </w:r>
      <w:r w:rsidRPr="002D3A5C">
        <w:t xml:space="preserve"> Cited by T Draper, </w:t>
      </w:r>
      <w:r w:rsidRPr="002D3A5C">
        <w:rPr>
          <w:i/>
          <w:iCs/>
          <w:color w:val="202122"/>
          <w:shd w:val="clear" w:color="auto" w:fill="FFFFFF"/>
        </w:rPr>
        <w:t xml:space="preserve">A Struggle </w:t>
      </w:r>
      <w:proofErr w:type="gramStart"/>
      <w:r w:rsidRPr="002D3A5C">
        <w:rPr>
          <w:i/>
          <w:iCs/>
          <w:color w:val="202122"/>
          <w:shd w:val="clear" w:color="auto" w:fill="FFFFFF"/>
        </w:rPr>
        <w:t>For</w:t>
      </w:r>
      <w:proofErr w:type="gramEnd"/>
      <w:r w:rsidRPr="002D3A5C">
        <w:rPr>
          <w:i/>
          <w:iCs/>
          <w:color w:val="202122"/>
          <w:shd w:val="clear" w:color="auto" w:fill="FFFFFF"/>
        </w:rPr>
        <w:t xml:space="preserve"> Power: The American Revolution</w:t>
      </w:r>
      <w:r w:rsidRPr="002D3A5C">
        <w:rPr>
          <w:color w:val="202122"/>
          <w:shd w:val="clear" w:color="auto" w:fill="FFFFFF"/>
        </w:rPr>
        <w:t xml:space="preserve"> (</w:t>
      </w:r>
      <w:r w:rsidR="001C7A45" w:rsidRPr="002D3A5C">
        <w:rPr>
          <w:color w:val="202122"/>
          <w:shd w:val="clear" w:color="auto" w:fill="FFFFFF"/>
        </w:rPr>
        <w:t xml:space="preserve">Vintage, USA, </w:t>
      </w:r>
      <w:r w:rsidRPr="002D3A5C">
        <w:rPr>
          <w:color w:val="202122"/>
          <w:shd w:val="clear" w:color="auto" w:fill="FFFFFF"/>
        </w:rPr>
        <w:t>1996) 219.</w:t>
      </w:r>
    </w:p>
  </w:footnote>
  <w:footnote w:id="7">
    <w:p w14:paraId="31B98740" w14:textId="71838688" w:rsidR="00D94ACA" w:rsidRPr="002D3A5C" w:rsidRDefault="00D94ACA" w:rsidP="002D3A5C">
      <w:pPr>
        <w:pStyle w:val="FootnoteText"/>
        <w:jc w:val="both"/>
      </w:pPr>
      <w:r w:rsidRPr="002D3A5C">
        <w:rPr>
          <w:rStyle w:val="FootnoteReference"/>
        </w:rPr>
        <w:footnoteRef/>
      </w:r>
      <w:r w:rsidRPr="002D3A5C">
        <w:t xml:space="preserve"> 6 Geo 3 c 52.</w:t>
      </w:r>
    </w:p>
  </w:footnote>
  <w:footnote w:id="8">
    <w:p w14:paraId="3952A897" w14:textId="081A73CB" w:rsidR="0091516A" w:rsidRPr="002D3A5C" w:rsidRDefault="0091516A" w:rsidP="002D3A5C">
      <w:pPr>
        <w:pStyle w:val="FootnoteText"/>
        <w:jc w:val="both"/>
      </w:pPr>
      <w:r w:rsidRPr="002D3A5C">
        <w:rPr>
          <w:rStyle w:val="FootnoteReference"/>
        </w:rPr>
        <w:footnoteRef/>
      </w:r>
      <w:r w:rsidRPr="002D3A5C">
        <w:t xml:space="preserve"> The ‘Sons of Liberty’ </w:t>
      </w:r>
      <w:r w:rsidR="0008168C" w:rsidRPr="002D3A5C">
        <w:t xml:space="preserve">comprised </w:t>
      </w:r>
      <w:r w:rsidRPr="002D3A5C">
        <w:t xml:space="preserve">a fast-growing, but clandestine, </w:t>
      </w:r>
      <w:r w:rsidR="00045C2D" w:rsidRPr="002D3A5C">
        <w:t>body</w:t>
      </w:r>
      <w:r w:rsidRPr="002D3A5C">
        <w:t xml:space="preserve"> which </w:t>
      </w:r>
      <w:r w:rsidR="00045C2D" w:rsidRPr="002D3A5C">
        <w:t>aimed to organise</w:t>
      </w:r>
      <w:r w:rsidRPr="002D3A5C">
        <w:t xml:space="preserve"> resistance</w:t>
      </w:r>
      <w:r w:rsidR="00045C2D" w:rsidRPr="002D3A5C">
        <w:t xml:space="preserve"> to British taxation and promote colonists’ rights. Its founding is attributed to Samuel Adams. Over the time, the organisation became increasingly militant, and did much damage to the property of British officials and notably humiliated </w:t>
      </w:r>
      <w:proofErr w:type="gramStart"/>
      <w:r w:rsidR="00045C2D" w:rsidRPr="002D3A5C">
        <w:t>a number of</w:t>
      </w:r>
      <w:proofErr w:type="gramEnd"/>
      <w:r w:rsidR="00045C2D" w:rsidRPr="002D3A5C">
        <w:t xml:space="preserve"> </w:t>
      </w:r>
      <w:r w:rsidR="00D564BB" w:rsidRPr="002D3A5C">
        <w:t>such individuals</w:t>
      </w:r>
      <w:r w:rsidR="00045C2D" w:rsidRPr="002D3A5C">
        <w:t xml:space="preserve"> by tarring and feathering</w:t>
      </w:r>
      <w:r w:rsidR="00D564BB" w:rsidRPr="002D3A5C">
        <w:t xml:space="preserve"> them</w:t>
      </w:r>
      <w:r w:rsidR="00045C2D" w:rsidRPr="002D3A5C">
        <w:t>.</w:t>
      </w:r>
    </w:p>
  </w:footnote>
  <w:footnote w:id="9">
    <w:p w14:paraId="237C0562" w14:textId="5949F595" w:rsidR="00C50E2C" w:rsidRPr="002D3A5C" w:rsidRDefault="00C50E2C" w:rsidP="002D3A5C">
      <w:pPr>
        <w:pStyle w:val="FootnoteText"/>
        <w:jc w:val="both"/>
      </w:pPr>
      <w:r w:rsidRPr="002D3A5C">
        <w:rPr>
          <w:rStyle w:val="FootnoteReference"/>
        </w:rPr>
        <w:footnoteRef/>
      </w:r>
      <w:r w:rsidRPr="002D3A5C">
        <w:t xml:space="preserve"> 5 Geo 3 c 12.</w:t>
      </w:r>
    </w:p>
  </w:footnote>
  <w:footnote w:id="10">
    <w:p w14:paraId="51E5ACC5" w14:textId="16F4B264" w:rsidR="000C5CDC" w:rsidRPr="002D3A5C" w:rsidRDefault="000C5CDC" w:rsidP="002D3A5C">
      <w:pPr>
        <w:pStyle w:val="FootnoteText"/>
        <w:jc w:val="both"/>
      </w:pPr>
      <w:r w:rsidRPr="002D3A5C">
        <w:rPr>
          <w:rStyle w:val="FootnoteReference"/>
        </w:rPr>
        <w:footnoteRef/>
      </w:r>
      <w:r w:rsidRPr="002D3A5C">
        <w:t xml:space="preserve"> </w:t>
      </w:r>
      <w:r w:rsidR="00D83F58" w:rsidRPr="002D3A5C">
        <w:t xml:space="preserve">S Edmund and HM Morgan, </w:t>
      </w:r>
      <w:r w:rsidR="00D83F58" w:rsidRPr="002D3A5C">
        <w:rPr>
          <w:i/>
          <w:iCs/>
        </w:rPr>
        <w:t>The Stamp Act Crisis: Prologue to Revolution</w:t>
      </w:r>
      <w:r w:rsidR="00D83F58" w:rsidRPr="002D3A5C">
        <w:t xml:space="preserve"> (Chapel Hill, University of North Carolina Press, 1951) 201.</w:t>
      </w:r>
    </w:p>
  </w:footnote>
  <w:footnote w:id="11">
    <w:p w14:paraId="54BBD852" w14:textId="329CD8BC" w:rsidR="00DD68AA" w:rsidRPr="002D3A5C" w:rsidRDefault="00DD68AA" w:rsidP="002D3A5C">
      <w:pPr>
        <w:pStyle w:val="FootnoteText"/>
        <w:jc w:val="both"/>
      </w:pPr>
      <w:r w:rsidRPr="002D3A5C">
        <w:rPr>
          <w:rStyle w:val="FootnoteReference"/>
        </w:rPr>
        <w:footnoteRef/>
      </w:r>
      <w:r w:rsidRPr="002D3A5C">
        <w:t xml:space="preserve"> Cited by </w:t>
      </w:r>
      <w:r w:rsidRPr="002D3A5C">
        <w:rPr>
          <w:color w:val="000000"/>
        </w:rPr>
        <w:t xml:space="preserve">M </w:t>
      </w:r>
      <w:proofErr w:type="spellStart"/>
      <w:r w:rsidRPr="002D3A5C">
        <w:rPr>
          <w:color w:val="000000"/>
        </w:rPr>
        <w:t>Alpaugh</w:t>
      </w:r>
      <w:proofErr w:type="spellEnd"/>
      <w:r w:rsidRPr="002D3A5C">
        <w:rPr>
          <w:color w:val="000000"/>
        </w:rPr>
        <w:t xml:space="preserve">, </w:t>
      </w:r>
      <w:r w:rsidRPr="002D3A5C">
        <w:rPr>
          <w:i/>
          <w:iCs/>
          <w:color w:val="000000"/>
        </w:rPr>
        <w:t>Friends of Freedom: The Rise of Social Movements in the Age of Atlantic Revolutions</w:t>
      </w:r>
      <w:r w:rsidRPr="002D3A5C">
        <w:rPr>
          <w:color w:val="000000"/>
        </w:rPr>
        <w:t>, (Cambridge, Cambridge University Press, 2021) 20.</w:t>
      </w:r>
    </w:p>
  </w:footnote>
  <w:footnote w:id="12">
    <w:p w14:paraId="0157CA2E" w14:textId="2F09C075" w:rsidR="001C091B" w:rsidRPr="002D3A5C" w:rsidRDefault="001C091B" w:rsidP="002D3A5C">
      <w:pPr>
        <w:pStyle w:val="FootnoteText"/>
        <w:jc w:val="both"/>
      </w:pPr>
      <w:r w:rsidRPr="002D3A5C">
        <w:rPr>
          <w:rStyle w:val="FootnoteReference"/>
        </w:rPr>
        <w:footnoteRef/>
      </w:r>
      <w:r w:rsidR="00007DD8" w:rsidRPr="002D3A5C">
        <w:rPr>
          <w:color w:val="000000"/>
        </w:rPr>
        <w:t xml:space="preserve"> </w:t>
      </w:r>
      <w:r w:rsidR="00C50E2C" w:rsidRPr="002D3A5C">
        <w:rPr>
          <w:color w:val="000000"/>
        </w:rPr>
        <w:t xml:space="preserve">L Oats and P Sadler, ‘Accounting for the Stamp Act Crisis’ (2008) 35(2) </w:t>
      </w:r>
      <w:r w:rsidR="00C50E2C" w:rsidRPr="002D3A5C">
        <w:rPr>
          <w:i/>
          <w:iCs/>
          <w:color w:val="000000"/>
        </w:rPr>
        <w:t>Accounting Historians Journal</w:t>
      </w:r>
      <w:r w:rsidR="00C50E2C" w:rsidRPr="002D3A5C">
        <w:rPr>
          <w:color w:val="000000"/>
        </w:rPr>
        <w:t xml:space="preserve"> 101, 107</w:t>
      </w:r>
      <w:r w:rsidRPr="002D3A5C">
        <w:t>.</w:t>
      </w:r>
    </w:p>
  </w:footnote>
  <w:footnote w:id="13">
    <w:p w14:paraId="1FF4068D" w14:textId="77777777" w:rsidR="001C091B" w:rsidRPr="002D3A5C" w:rsidRDefault="001C091B" w:rsidP="002D3A5C">
      <w:pPr>
        <w:pStyle w:val="FootnoteText"/>
        <w:jc w:val="both"/>
      </w:pPr>
      <w:r w:rsidRPr="002D3A5C">
        <w:rPr>
          <w:rStyle w:val="FootnoteReference"/>
        </w:rPr>
        <w:footnoteRef/>
      </w:r>
      <w:r w:rsidRPr="002D3A5C">
        <w:t xml:space="preserve"> ibid.</w:t>
      </w:r>
    </w:p>
  </w:footnote>
  <w:footnote w:id="14">
    <w:p w14:paraId="079DDAE0" w14:textId="79D8EA57" w:rsidR="00AB4309" w:rsidRPr="002D3A5C" w:rsidRDefault="00AB4309" w:rsidP="002D3A5C">
      <w:pPr>
        <w:pStyle w:val="FootnoteText"/>
        <w:jc w:val="both"/>
      </w:pPr>
      <w:r w:rsidRPr="002D3A5C">
        <w:rPr>
          <w:rStyle w:val="FootnoteReference"/>
        </w:rPr>
        <w:footnoteRef/>
      </w:r>
      <w:r w:rsidRPr="002D3A5C">
        <w:t xml:space="preserve"> Above n </w:t>
      </w:r>
      <w:r w:rsidR="00D564BB" w:rsidRPr="002D3A5C">
        <w:t>1</w:t>
      </w:r>
      <w:r w:rsidR="0008168C" w:rsidRPr="002D3A5C">
        <w:t>1</w:t>
      </w:r>
      <w:r w:rsidRPr="002D3A5C">
        <w:t>, 43.</w:t>
      </w:r>
    </w:p>
  </w:footnote>
  <w:footnote w:id="15">
    <w:p w14:paraId="1DD1027B" w14:textId="0853384F" w:rsidR="00EC3F6E" w:rsidRPr="002D3A5C" w:rsidRDefault="00EC3F6E" w:rsidP="002D3A5C">
      <w:pPr>
        <w:pStyle w:val="FootnoteText"/>
        <w:jc w:val="both"/>
      </w:pPr>
      <w:r w:rsidRPr="002D3A5C">
        <w:rPr>
          <w:rStyle w:val="FootnoteReference"/>
        </w:rPr>
        <w:footnoteRef/>
      </w:r>
      <w:r w:rsidRPr="002D3A5C">
        <w:t xml:space="preserve"> CH Van Tyne, ‘Influence of the Clergy, and of Religious and Sectarian Forces, on the American Revolution’ (1913) 19(1) </w:t>
      </w:r>
      <w:r w:rsidRPr="002D3A5C">
        <w:rPr>
          <w:i/>
          <w:iCs/>
        </w:rPr>
        <w:t>American History Review</w:t>
      </w:r>
      <w:r w:rsidR="00CD53E1" w:rsidRPr="002D3A5C">
        <w:t xml:space="preserve"> 44, 48–9.</w:t>
      </w:r>
    </w:p>
  </w:footnote>
  <w:footnote w:id="16">
    <w:p w14:paraId="78A7C379" w14:textId="6E293FFA" w:rsidR="007F55AF" w:rsidRPr="002D3A5C" w:rsidRDefault="007F55AF" w:rsidP="002D3A5C">
      <w:pPr>
        <w:pStyle w:val="Default"/>
        <w:jc w:val="both"/>
        <w:rPr>
          <w:rFonts w:ascii="Times New Roman" w:hAnsi="Times New Roman" w:cs="Times New Roman"/>
          <w:sz w:val="20"/>
          <w:szCs w:val="20"/>
        </w:rPr>
      </w:pPr>
      <w:r w:rsidRPr="002D3A5C">
        <w:rPr>
          <w:rStyle w:val="FootnoteReference"/>
          <w:rFonts w:ascii="Times New Roman" w:hAnsi="Times New Roman" w:cs="Times New Roman"/>
          <w:sz w:val="20"/>
          <w:szCs w:val="20"/>
        </w:rPr>
        <w:footnoteRef/>
      </w:r>
      <w:r w:rsidRPr="002D3A5C">
        <w:rPr>
          <w:rFonts w:ascii="Times New Roman" w:hAnsi="Times New Roman" w:cs="Times New Roman"/>
          <w:sz w:val="20"/>
          <w:szCs w:val="20"/>
        </w:rPr>
        <w:t xml:space="preserve"> ibid 49, citing </w:t>
      </w:r>
      <w:r w:rsidRPr="002D3A5C">
        <w:rPr>
          <w:rFonts w:ascii="Times New Roman" w:hAnsi="Times New Roman" w:cs="Times New Roman"/>
          <w:color w:val="auto"/>
          <w:sz w:val="20"/>
          <w:szCs w:val="20"/>
        </w:rPr>
        <w:t xml:space="preserve">Samuel Davies, </w:t>
      </w:r>
      <w:r w:rsidRPr="002D3A5C">
        <w:rPr>
          <w:rFonts w:ascii="Times New Roman" w:hAnsi="Times New Roman" w:cs="Times New Roman"/>
          <w:i/>
          <w:iCs/>
          <w:color w:val="auto"/>
          <w:sz w:val="20"/>
          <w:szCs w:val="20"/>
        </w:rPr>
        <w:t>Sermons</w:t>
      </w:r>
      <w:r w:rsidRPr="002D3A5C">
        <w:rPr>
          <w:rFonts w:ascii="Times New Roman" w:hAnsi="Times New Roman" w:cs="Times New Roman"/>
          <w:color w:val="auto"/>
          <w:sz w:val="20"/>
          <w:szCs w:val="20"/>
        </w:rPr>
        <w:t>, III</w:t>
      </w:r>
      <w:r w:rsidR="00842102" w:rsidRPr="002D3A5C">
        <w:rPr>
          <w:rFonts w:ascii="Times New Roman" w:hAnsi="Times New Roman" w:cs="Times New Roman"/>
          <w:color w:val="auto"/>
          <w:sz w:val="20"/>
          <w:szCs w:val="20"/>
        </w:rPr>
        <w:t>, 80. The quote from Patrick Henry is unreferenced.</w:t>
      </w:r>
    </w:p>
  </w:footnote>
  <w:footnote w:id="17">
    <w:p w14:paraId="606E3281" w14:textId="7E24C085" w:rsidR="00373099" w:rsidRPr="002D3A5C" w:rsidRDefault="00373099" w:rsidP="002D3A5C">
      <w:pPr>
        <w:pStyle w:val="FootnoteText"/>
        <w:jc w:val="both"/>
      </w:pPr>
      <w:r w:rsidRPr="002D3A5C">
        <w:rPr>
          <w:rStyle w:val="FootnoteReference"/>
        </w:rPr>
        <w:footnoteRef/>
      </w:r>
      <w:r w:rsidRPr="002D3A5C">
        <w:t xml:space="preserve"> 13 Geo 3 c 44.</w:t>
      </w:r>
    </w:p>
  </w:footnote>
  <w:footnote w:id="18">
    <w:p w14:paraId="7466078B" w14:textId="6AC5F9D3" w:rsidR="001E6A75" w:rsidRPr="002D3A5C" w:rsidRDefault="001E6A75" w:rsidP="002D3A5C">
      <w:pPr>
        <w:pStyle w:val="FootnoteText"/>
        <w:jc w:val="both"/>
      </w:pPr>
      <w:r w:rsidRPr="002D3A5C">
        <w:rPr>
          <w:rStyle w:val="FootnoteReference"/>
        </w:rPr>
        <w:footnoteRef/>
      </w:r>
      <w:r w:rsidRPr="002D3A5C">
        <w:t xml:space="preserve"> The Boston Port Act, the Massachusetts Government Act, the Administration of Justice </w:t>
      </w:r>
      <w:proofErr w:type="gramStart"/>
      <w:r w:rsidRPr="002D3A5C">
        <w:t>Act</w:t>
      </w:r>
      <w:proofErr w:type="gramEnd"/>
      <w:r w:rsidRPr="002D3A5C">
        <w:t xml:space="preserve"> and the Quartering Act. A fifth Act, the </w:t>
      </w:r>
      <w:r w:rsidR="006B4A6D" w:rsidRPr="002D3A5C">
        <w:t>Quebec Act, is sometimes regarded as one of the Intolerable Acts, in that it granted rights to the erstwhile ant</w:t>
      </w:r>
      <w:r w:rsidR="00C03799" w:rsidRPr="002D3A5C">
        <w:t>a</w:t>
      </w:r>
      <w:r w:rsidR="006B4A6D" w:rsidRPr="002D3A5C">
        <w:t>gonists of the colonists from the French and Indian wars.</w:t>
      </w:r>
    </w:p>
  </w:footnote>
  <w:footnote w:id="19">
    <w:p w14:paraId="5CE4118B" w14:textId="131A0568" w:rsidR="00E11453" w:rsidRPr="002D3A5C" w:rsidRDefault="00E11453" w:rsidP="002D3A5C">
      <w:pPr>
        <w:autoSpaceDE w:val="0"/>
        <w:autoSpaceDN w:val="0"/>
        <w:adjustRightInd w:val="0"/>
        <w:spacing w:after="0" w:line="240" w:lineRule="auto"/>
        <w:ind w:right="-46"/>
        <w:jc w:val="both"/>
        <w:rPr>
          <w:color w:val="000000" w:themeColor="text1"/>
          <w:sz w:val="20"/>
          <w:szCs w:val="20"/>
        </w:rPr>
      </w:pPr>
      <w:r w:rsidRPr="002D3A5C">
        <w:rPr>
          <w:rStyle w:val="FootnoteReference"/>
          <w:sz w:val="20"/>
          <w:szCs w:val="20"/>
        </w:rPr>
        <w:footnoteRef/>
      </w:r>
      <w:r w:rsidRPr="002D3A5C">
        <w:rPr>
          <w:sz w:val="20"/>
          <w:szCs w:val="20"/>
        </w:rPr>
        <w:t xml:space="preserve"> T Paine,</w:t>
      </w:r>
      <w:r w:rsidRPr="002D3A5C">
        <w:rPr>
          <w:color w:val="000000" w:themeColor="text1"/>
          <w:sz w:val="20"/>
          <w:szCs w:val="20"/>
        </w:rPr>
        <w:t xml:space="preserve"> </w:t>
      </w:r>
      <w:r w:rsidRPr="002D3A5C">
        <w:rPr>
          <w:i/>
          <w:iCs/>
          <w:color w:val="000000" w:themeColor="text1"/>
          <w:sz w:val="20"/>
          <w:szCs w:val="20"/>
        </w:rPr>
        <w:t>Common Sense</w:t>
      </w:r>
      <w:r w:rsidRPr="002D3A5C">
        <w:rPr>
          <w:color w:val="000000" w:themeColor="text1"/>
          <w:sz w:val="20"/>
          <w:szCs w:val="20"/>
        </w:rPr>
        <w:t xml:space="preserve"> [1776], </w:t>
      </w:r>
      <w:r w:rsidR="00304007" w:rsidRPr="002D3A5C">
        <w:rPr>
          <w:color w:val="000000" w:themeColor="text1"/>
          <w:sz w:val="20"/>
          <w:szCs w:val="20"/>
        </w:rPr>
        <w:t xml:space="preserve">available </w:t>
      </w:r>
      <w:r w:rsidRPr="002D3A5C">
        <w:rPr>
          <w:color w:val="000000" w:themeColor="text1"/>
          <w:sz w:val="20"/>
          <w:szCs w:val="20"/>
        </w:rPr>
        <w:t xml:space="preserve">at </w:t>
      </w:r>
      <w:r w:rsidR="00304007" w:rsidRPr="002D3A5C">
        <w:rPr>
          <w:sz w:val="20"/>
          <w:szCs w:val="20"/>
        </w:rPr>
        <w:t>http://americainclass.org/wp-content/uploads/2014/07/Common-Sense-_-Full-Text.pdf</w:t>
      </w:r>
      <w:r w:rsidR="00304007" w:rsidRPr="002D3A5C">
        <w:rPr>
          <w:color w:val="000000" w:themeColor="text1"/>
          <w:sz w:val="20"/>
          <w:szCs w:val="20"/>
        </w:rPr>
        <w:t xml:space="preserve"> (a</w:t>
      </w:r>
      <w:r w:rsidRPr="002D3A5C">
        <w:rPr>
          <w:color w:val="000000" w:themeColor="text1"/>
          <w:sz w:val="20"/>
          <w:szCs w:val="20"/>
        </w:rPr>
        <w:t>ccessed 8 June 2021</w:t>
      </w:r>
      <w:r w:rsidR="00304007" w:rsidRPr="002D3A5C">
        <w:rPr>
          <w:color w:val="000000" w:themeColor="text1"/>
          <w:sz w:val="20"/>
          <w:szCs w:val="20"/>
        </w:rPr>
        <w:t>)</w:t>
      </w:r>
      <w:r w:rsidRPr="002D3A5C">
        <w:rPr>
          <w:color w:val="000000" w:themeColor="text1"/>
          <w:sz w:val="20"/>
          <w:szCs w:val="20"/>
        </w:rPr>
        <w:t>.</w:t>
      </w:r>
      <w:r w:rsidR="0060478A" w:rsidRPr="002D3A5C">
        <w:rPr>
          <w:color w:val="000000" w:themeColor="text1"/>
          <w:sz w:val="20"/>
          <w:szCs w:val="20"/>
        </w:rPr>
        <w:t xml:space="preserve"> </w:t>
      </w:r>
      <w:r w:rsidR="0060478A" w:rsidRPr="002D3A5C">
        <w:rPr>
          <w:sz w:val="20"/>
          <w:szCs w:val="20"/>
        </w:rPr>
        <w:t xml:space="preserve">In addition, </w:t>
      </w:r>
      <w:r w:rsidR="004A6940" w:rsidRPr="002D3A5C">
        <w:rPr>
          <w:sz w:val="20"/>
          <w:szCs w:val="20"/>
        </w:rPr>
        <w:t xml:space="preserve">also very influential was </w:t>
      </w:r>
      <w:r w:rsidR="0060478A" w:rsidRPr="002D3A5C">
        <w:rPr>
          <w:sz w:val="20"/>
          <w:szCs w:val="20"/>
        </w:rPr>
        <w:t xml:space="preserve">Paine’s series of pamphlets, known as </w:t>
      </w:r>
      <w:r w:rsidR="0060478A" w:rsidRPr="002D3A5C">
        <w:rPr>
          <w:i/>
          <w:iCs/>
          <w:sz w:val="20"/>
          <w:szCs w:val="20"/>
        </w:rPr>
        <w:t>The American Crisis</w:t>
      </w:r>
      <w:r w:rsidR="0060478A" w:rsidRPr="002D3A5C">
        <w:rPr>
          <w:sz w:val="20"/>
          <w:szCs w:val="20"/>
        </w:rPr>
        <w:t xml:space="preserve"> (a series published between 1776 and 1783, and sometimes just referred to as </w:t>
      </w:r>
      <w:r w:rsidR="0060478A" w:rsidRPr="002D3A5C">
        <w:rPr>
          <w:i/>
          <w:iCs/>
          <w:sz w:val="20"/>
          <w:szCs w:val="20"/>
        </w:rPr>
        <w:t>The Crisis</w:t>
      </w:r>
      <w:r w:rsidR="0060478A" w:rsidRPr="002D3A5C">
        <w:rPr>
          <w:sz w:val="20"/>
          <w:szCs w:val="20"/>
        </w:rPr>
        <w:t>)</w:t>
      </w:r>
      <w:r w:rsidR="0060478A" w:rsidRPr="002D3A5C">
        <w:rPr>
          <w:color w:val="000000" w:themeColor="text1"/>
          <w:sz w:val="20"/>
          <w:szCs w:val="20"/>
        </w:rPr>
        <w:t xml:space="preserve"> – see T Paine, </w:t>
      </w:r>
      <w:r w:rsidR="0060478A" w:rsidRPr="002D3A5C">
        <w:rPr>
          <w:i/>
          <w:iCs/>
          <w:color w:val="000000" w:themeColor="text1"/>
          <w:sz w:val="20"/>
          <w:szCs w:val="20"/>
        </w:rPr>
        <w:t>The American Crisis</w:t>
      </w:r>
      <w:r w:rsidR="0060478A" w:rsidRPr="002D3A5C">
        <w:rPr>
          <w:color w:val="000000" w:themeColor="text1"/>
          <w:sz w:val="20"/>
          <w:szCs w:val="20"/>
        </w:rPr>
        <w:t xml:space="preserve"> [1776–83], S Straub (ed), </w:t>
      </w:r>
      <w:r w:rsidR="004A6940" w:rsidRPr="002D3A5C">
        <w:rPr>
          <w:color w:val="000000" w:themeColor="text1"/>
          <w:sz w:val="20"/>
          <w:szCs w:val="20"/>
        </w:rPr>
        <w:t xml:space="preserve">available </w:t>
      </w:r>
      <w:r w:rsidR="0060478A" w:rsidRPr="002D3A5C">
        <w:rPr>
          <w:color w:val="000000" w:themeColor="text1"/>
          <w:sz w:val="20"/>
          <w:szCs w:val="20"/>
        </w:rPr>
        <w:t xml:space="preserve">at </w:t>
      </w:r>
      <w:r w:rsidR="004A6940" w:rsidRPr="002D3A5C">
        <w:rPr>
          <w:sz w:val="20"/>
          <w:szCs w:val="20"/>
        </w:rPr>
        <w:t>https://thefederalistpapers.org/wp-content/uploads/2013/08/The-American-Crisis-by-Thomas-Paine-.pdf</w:t>
      </w:r>
      <w:r w:rsidR="004A6940" w:rsidRPr="002D3A5C">
        <w:rPr>
          <w:color w:val="000000" w:themeColor="text1"/>
          <w:sz w:val="20"/>
          <w:szCs w:val="20"/>
        </w:rPr>
        <w:t xml:space="preserve"> (a</w:t>
      </w:r>
      <w:r w:rsidR="0060478A" w:rsidRPr="002D3A5C">
        <w:rPr>
          <w:color w:val="000000" w:themeColor="text1"/>
          <w:sz w:val="20"/>
          <w:szCs w:val="20"/>
        </w:rPr>
        <w:t>ccessed 8 June 2021</w:t>
      </w:r>
      <w:r w:rsidR="004A6940" w:rsidRPr="002D3A5C">
        <w:rPr>
          <w:color w:val="000000" w:themeColor="text1"/>
          <w:sz w:val="20"/>
          <w:szCs w:val="20"/>
        </w:rPr>
        <w:t>)</w:t>
      </w:r>
      <w:r w:rsidR="0060478A" w:rsidRPr="002D3A5C">
        <w:rPr>
          <w:sz w:val="20"/>
          <w:szCs w:val="20"/>
        </w:rPr>
        <w:t xml:space="preserve">. </w:t>
      </w:r>
      <w:r w:rsidR="00C855E4" w:rsidRPr="002D3A5C">
        <w:rPr>
          <w:sz w:val="20"/>
          <w:szCs w:val="20"/>
        </w:rPr>
        <w:t xml:space="preserve">After </w:t>
      </w:r>
      <w:proofErr w:type="gramStart"/>
      <w:r w:rsidR="00C855E4" w:rsidRPr="002D3A5C">
        <w:rPr>
          <w:sz w:val="20"/>
          <w:szCs w:val="20"/>
        </w:rPr>
        <w:t>a period of time</w:t>
      </w:r>
      <w:proofErr w:type="gramEnd"/>
      <w:r w:rsidR="00C855E4" w:rsidRPr="002D3A5C">
        <w:rPr>
          <w:sz w:val="20"/>
          <w:szCs w:val="20"/>
        </w:rPr>
        <w:t xml:space="preserve"> spent in America, Paine</w:t>
      </w:r>
      <w:r w:rsidR="0060478A" w:rsidRPr="002D3A5C">
        <w:rPr>
          <w:sz w:val="20"/>
          <w:szCs w:val="20"/>
        </w:rPr>
        <w:t xml:space="preserve"> returned to England in 1787. His </w:t>
      </w:r>
      <w:proofErr w:type="gramStart"/>
      <w:r w:rsidR="0060478A" w:rsidRPr="002D3A5C">
        <w:rPr>
          <w:sz w:val="20"/>
          <w:szCs w:val="20"/>
        </w:rPr>
        <w:t>best known</w:t>
      </w:r>
      <w:proofErr w:type="gramEnd"/>
      <w:r w:rsidR="0060478A" w:rsidRPr="002D3A5C">
        <w:rPr>
          <w:sz w:val="20"/>
          <w:szCs w:val="20"/>
        </w:rPr>
        <w:t xml:space="preserve"> work, however, is </w:t>
      </w:r>
      <w:r w:rsidR="0060478A" w:rsidRPr="002D3A5C">
        <w:rPr>
          <w:i/>
          <w:iCs/>
          <w:sz w:val="20"/>
          <w:szCs w:val="20"/>
        </w:rPr>
        <w:t>The Rights of Man</w:t>
      </w:r>
      <w:r w:rsidR="0060478A" w:rsidRPr="002D3A5C">
        <w:rPr>
          <w:sz w:val="20"/>
          <w:szCs w:val="20"/>
        </w:rPr>
        <w:t>, published in two parts in 1791 and 1792 respectivel</w:t>
      </w:r>
      <w:r w:rsidR="004A6940" w:rsidRPr="002D3A5C">
        <w:rPr>
          <w:sz w:val="20"/>
          <w:szCs w:val="20"/>
        </w:rPr>
        <w:t>y</w:t>
      </w:r>
      <w:r w:rsidR="004A6940" w:rsidRPr="002D3A5C">
        <w:rPr>
          <w:color w:val="000000" w:themeColor="text1"/>
          <w:sz w:val="20"/>
          <w:szCs w:val="20"/>
        </w:rPr>
        <w:t xml:space="preserve"> (see T Paine, </w:t>
      </w:r>
      <w:r w:rsidR="004A6940" w:rsidRPr="002D3A5C">
        <w:rPr>
          <w:i/>
          <w:iCs/>
          <w:color w:val="000000" w:themeColor="text1"/>
          <w:sz w:val="20"/>
          <w:szCs w:val="20"/>
        </w:rPr>
        <w:t>The Rights of Man, Part I and Part II</w:t>
      </w:r>
      <w:r w:rsidR="00DE7CE9" w:rsidRPr="002D3A5C">
        <w:rPr>
          <w:color w:val="000000" w:themeColor="text1"/>
          <w:sz w:val="20"/>
          <w:szCs w:val="20"/>
        </w:rPr>
        <w:t xml:space="preserve"> [1791–92]</w:t>
      </w:r>
      <w:r w:rsidR="004A6940" w:rsidRPr="002D3A5C">
        <w:rPr>
          <w:color w:val="000000" w:themeColor="text1"/>
          <w:sz w:val="20"/>
          <w:szCs w:val="20"/>
        </w:rPr>
        <w:t>, available at https://infidels.org/library/historical/thomas_paine/rights_of_man/ (accessed 8 June 2021).</w:t>
      </w:r>
      <w:r w:rsidR="00DE7CE9" w:rsidRPr="002D3A5C">
        <w:rPr>
          <w:color w:val="000000" w:themeColor="text1"/>
          <w:sz w:val="20"/>
          <w:szCs w:val="20"/>
        </w:rPr>
        <w:t xml:space="preserve"> Part II is significant in its discussion of taxation, and the uses to which tax revenue should be put, in many ways presaging the development of a welfare state.</w:t>
      </w:r>
    </w:p>
  </w:footnote>
  <w:footnote w:id="20">
    <w:p w14:paraId="1570022F" w14:textId="11A30345" w:rsidR="00214DB8" w:rsidRPr="002D3A5C" w:rsidRDefault="00214DB8" w:rsidP="002D3A5C">
      <w:pPr>
        <w:pStyle w:val="FootnoteText"/>
        <w:jc w:val="both"/>
      </w:pPr>
      <w:r w:rsidRPr="002D3A5C">
        <w:rPr>
          <w:rStyle w:val="FootnoteReference"/>
        </w:rPr>
        <w:footnoteRef/>
      </w:r>
      <w:r w:rsidRPr="002D3A5C">
        <w:t xml:space="preserve"> Above n 1</w:t>
      </w:r>
      <w:r w:rsidR="00CF3730" w:rsidRPr="002D3A5C">
        <w:t>2</w:t>
      </w:r>
      <w:r w:rsidR="00D718AA" w:rsidRPr="002D3A5C">
        <w:t>.</w:t>
      </w:r>
    </w:p>
  </w:footnote>
  <w:footnote w:id="21">
    <w:p w14:paraId="24578849" w14:textId="49B3ECBA" w:rsidR="00214DB8" w:rsidRPr="002D3A5C" w:rsidRDefault="00214DB8" w:rsidP="002D3A5C">
      <w:pPr>
        <w:pStyle w:val="FootnoteText"/>
        <w:jc w:val="both"/>
      </w:pPr>
      <w:r w:rsidRPr="002D3A5C">
        <w:rPr>
          <w:rStyle w:val="FootnoteReference"/>
        </w:rPr>
        <w:footnoteRef/>
      </w:r>
      <w:r w:rsidRPr="002D3A5C">
        <w:t xml:space="preserve"> ibid 117. Oats and Sadler indicate that the issues of whether the tax money would stay in the colonies was far from clear.</w:t>
      </w:r>
    </w:p>
  </w:footnote>
  <w:footnote w:id="22">
    <w:p w14:paraId="4D142240" w14:textId="168D745D" w:rsidR="00214DB8" w:rsidRPr="002D3A5C" w:rsidRDefault="00214DB8" w:rsidP="002D3A5C">
      <w:pPr>
        <w:pStyle w:val="FootnoteText"/>
        <w:jc w:val="both"/>
      </w:pPr>
      <w:r w:rsidRPr="002D3A5C">
        <w:rPr>
          <w:rStyle w:val="FootnoteReference"/>
        </w:rPr>
        <w:footnoteRef/>
      </w:r>
      <w:r w:rsidRPr="002D3A5C">
        <w:t xml:space="preserve"> ibid 111.</w:t>
      </w:r>
    </w:p>
  </w:footnote>
  <w:footnote w:id="23">
    <w:p w14:paraId="1872C0E7" w14:textId="4BB5D0A0" w:rsidR="00214DB8" w:rsidRPr="002D3A5C" w:rsidRDefault="00214DB8" w:rsidP="002D3A5C">
      <w:pPr>
        <w:pStyle w:val="FootnoteText"/>
        <w:jc w:val="both"/>
      </w:pPr>
      <w:r w:rsidRPr="002D3A5C">
        <w:rPr>
          <w:rStyle w:val="FootnoteReference"/>
        </w:rPr>
        <w:footnoteRef/>
      </w:r>
      <w:r w:rsidRPr="002D3A5C">
        <w:t xml:space="preserve"> ibid 114.</w:t>
      </w:r>
    </w:p>
  </w:footnote>
  <w:footnote w:id="24">
    <w:p w14:paraId="055F149F" w14:textId="1B3A0E73" w:rsidR="00214DB8" w:rsidRPr="002D3A5C" w:rsidRDefault="00214DB8" w:rsidP="002D3A5C">
      <w:pPr>
        <w:pStyle w:val="FootnoteText"/>
        <w:jc w:val="both"/>
      </w:pPr>
      <w:r w:rsidRPr="002D3A5C">
        <w:rPr>
          <w:rStyle w:val="FootnoteReference"/>
        </w:rPr>
        <w:footnoteRef/>
      </w:r>
      <w:r w:rsidRPr="002D3A5C">
        <w:t xml:space="preserve"> RM </w:t>
      </w:r>
      <w:proofErr w:type="spellStart"/>
      <w:r w:rsidRPr="002D3A5C">
        <w:t>Kozu</w:t>
      </w:r>
      <w:r w:rsidR="001D1FB5" w:rsidRPr="002D3A5C">
        <w:t>b</w:t>
      </w:r>
      <w:proofErr w:type="spellEnd"/>
      <w:r w:rsidRPr="002D3A5C">
        <w:t xml:space="preserve">, ‘Antecedents of the Income Tax in Colonial America’ (1983) 10(2) </w:t>
      </w:r>
      <w:r w:rsidRPr="002D3A5C">
        <w:rPr>
          <w:i/>
          <w:iCs/>
        </w:rPr>
        <w:t>Accounting Historians Journal</w:t>
      </w:r>
      <w:r w:rsidRPr="002D3A5C">
        <w:t xml:space="preserve"> 99.</w:t>
      </w:r>
    </w:p>
  </w:footnote>
  <w:footnote w:id="25">
    <w:p w14:paraId="5D9D9BF9" w14:textId="03A43FD2" w:rsidR="00EC0CD6" w:rsidRPr="002D3A5C" w:rsidRDefault="00EC0CD6" w:rsidP="002D3A5C">
      <w:pPr>
        <w:pStyle w:val="FootnoteText"/>
        <w:jc w:val="both"/>
      </w:pPr>
      <w:r w:rsidRPr="002D3A5C">
        <w:rPr>
          <w:rStyle w:val="FootnoteReference"/>
        </w:rPr>
        <w:footnoteRef/>
      </w:r>
      <w:r w:rsidRPr="002D3A5C">
        <w:t xml:space="preserve"> ibid 100.</w:t>
      </w:r>
    </w:p>
  </w:footnote>
  <w:footnote w:id="26">
    <w:p w14:paraId="6BD5D6A7" w14:textId="3A468AC5" w:rsidR="007F5FA1" w:rsidRPr="002D3A5C" w:rsidRDefault="007F5FA1" w:rsidP="002D3A5C">
      <w:pPr>
        <w:autoSpaceDE w:val="0"/>
        <w:autoSpaceDN w:val="0"/>
        <w:adjustRightInd w:val="0"/>
        <w:spacing w:after="0" w:line="240" w:lineRule="auto"/>
        <w:jc w:val="both"/>
        <w:rPr>
          <w:sz w:val="20"/>
          <w:szCs w:val="20"/>
        </w:rPr>
      </w:pPr>
      <w:r w:rsidRPr="002D3A5C">
        <w:rPr>
          <w:rStyle w:val="FootnoteReference"/>
          <w:sz w:val="20"/>
          <w:szCs w:val="20"/>
        </w:rPr>
        <w:footnoteRef/>
      </w:r>
      <w:r w:rsidRPr="002D3A5C">
        <w:rPr>
          <w:sz w:val="20"/>
          <w:szCs w:val="20"/>
        </w:rPr>
        <w:t xml:space="preserve"> RE Paul, ‘History of Taxation in the United States’ (1955) 1 </w:t>
      </w:r>
      <w:r w:rsidRPr="002D3A5C">
        <w:rPr>
          <w:i/>
          <w:iCs/>
          <w:sz w:val="20"/>
          <w:szCs w:val="20"/>
        </w:rPr>
        <w:t>Annual Tax Conference</w:t>
      </w:r>
      <w:r w:rsidRPr="002D3A5C">
        <w:rPr>
          <w:sz w:val="20"/>
          <w:szCs w:val="20"/>
        </w:rPr>
        <w:t xml:space="preserve"> 5.</w:t>
      </w:r>
    </w:p>
  </w:footnote>
  <w:footnote w:id="27">
    <w:p w14:paraId="3830984E" w14:textId="35C124B1" w:rsidR="00F52F22" w:rsidRPr="002D3A5C" w:rsidRDefault="00F52F22" w:rsidP="002D3A5C">
      <w:pPr>
        <w:pStyle w:val="FootnoteText"/>
        <w:jc w:val="both"/>
      </w:pPr>
      <w:r w:rsidRPr="002D3A5C">
        <w:rPr>
          <w:rStyle w:val="FootnoteReference"/>
        </w:rPr>
        <w:footnoteRef/>
      </w:r>
      <w:r w:rsidRPr="002D3A5C">
        <w:t xml:space="preserve"> </w:t>
      </w:r>
      <w:r w:rsidR="00810028" w:rsidRPr="002D3A5C">
        <w:t>Above n 2</w:t>
      </w:r>
      <w:r w:rsidR="00CF3730" w:rsidRPr="002D3A5C">
        <w:t>4</w:t>
      </w:r>
      <w:r w:rsidR="00810028" w:rsidRPr="002D3A5C">
        <w:t xml:space="preserve">, 101, referring to RT Ely, </w:t>
      </w:r>
      <w:r w:rsidR="00810028" w:rsidRPr="002D3A5C">
        <w:rPr>
          <w:i/>
          <w:iCs/>
        </w:rPr>
        <w:t>Taxation in American States and Cities</w:t>
      </w:r>
      <w:r w:rsidR="00810028" w:rsidRPr="002D3A5C">
        <w:t xml:space="preserve"> (New York, Thomas Y </w:t>
      </w:r>
      <w:proofErr w:type="gramStart"/>
      <w:r w:rsidR="00810028" w:rsidRPr="002D3A5C">
        <w:t>Cromwell</w:t>
      </w:r>
      <w:proofErr w:type="gramEnd"/>
      <w:r w:rsidR="00810028" w:rsidRPr="002D3A5C">
        <w:t xml:space="preserve"> and Co., 1888) 118.</w:t>
      </w:r>
    </w:p>
  </w:footnote>
  <w:footnote w:id="28">
    <w:p w14:paraId="101F9C38" w14:textId="4DA95DBC" w:rsidR="00A80D71" w:rsidRPr="002D3A5C" w:rsidRDefault="00A80D71" w:rsidP="002D3A5C">
      <w:pPr>
        <w:pStyle w:val="FootnoteText"/>
        <w:jc w:val="both"/>
      </w:pPr>
      <w:r w:rsidRPr="002D3A5C">
        <w:rPr>
          <w:rStyle w:val="FootnoteReference"/>
        </w:rPr>
        <w:footnoteRef/>
      </w:r>
      <w:r w:rsidRPr="002D3A5C">
        <w:t xml:space="preserve"> Above n 2</w:t>
      </w:r>
      <w:r w:rsidR="00CF3730" w:rsidRPr="002D3A5C">
        <w:t>4</w:t>
      </w:r>
      <w:r w:rsidR="00B31A0F" w:rsidRPr="002D3A5C">
        <w:t>, 100.</w:t>
      </w:r>
    </w:p>
  </w:footnote>
  <w:footnote w:id="29">
    <w:p w14:paraId="27B8C3D2" w14:textId="757DE16A" w:rsidR="00A80D71" w:rsidRPr="002D3A5C" w:rsidRDefault="00A80D71" w:rsidP="002D3A5C">
      <w:pPr>
        <w:pStyle w:val="FootnoteText"/>
        <w:jc w:val="both"/>
      </w:pPr>
      <w:r w:rsidRPr="002D3A5C">
        <w:rPr>
          <w:rStyle w:val="FootnoteReference"/>
        </w:rPr>
        <w:footnoteRef/>
      </w:r>
      <w:r w:rsidRPr="002D3A5C">
        <w:t xml:space="preserve"> Above n </w:t>
      </w:r>
      <w:r w:rsidR="00CF3730" w:rsidRPr="002D3A5C">
        <w:t>2</w:t>
      </w:r>
      <w:r w:rsidRPr="002D3A5C">
        <w:t>.</w:t>
      </w:r>
    </w:p>
  </w:footnote>
  <w:footnote w:id="30">
    <w:p w14:paraId="763D20F5" w14:textId="793DA3D4" w:rsidR="00A80D71" w:rsidRPr="002D3A5C" w:rsidRDefault="00A80D71" w:rsidP="002D3A5C">
      <w:pPr>
        <w:pStyle w:val="FootnoteText"/>
        <w:jc w:val="both"/>
      </w:pPr>
      <w:r w:rsidRPr="002D3A5C">
        <w:rPr>
          <w:rStyle w:val="FootnoteReference"/>
        </w:rPr>
        <w:footnoteRef/>
      </w:r>
      <w:r w:rsidRPr="002D3A5C">
        <w:t xml:space="preserve"> Above n 2</w:t>
      </w:r>
      <w:r w:rsidR="00CF3730" w:rsidRPr="002D3A5C">
        <w:t>4</w:t>
      </w:r>
      <w:r w:rsidRPr="002D3A5C">
        <w:t>, 113.</w:t>
      </w:r>
    </w:p>
  </w:footnote>
  <w:footnote w:id="31">
    <w:p w14:paraId="222656C2" w14:textId="77777777" w:rsidR="00A80D71" w:rsidRPr="002D3A5C" w:rsidRDefault="00A80D71" w:rsidP="002D3A5C">
      <w:pPr>
        <w:pStyle w:val="FootnoteText"/>
        <w:jc w:val="both"/>
      </w:pPr>
      <w:r w:rsidRPr="002D3A5C">
        <w:rPr>
          <w:rStyle w:val="FootnoteReference"/>
        </w:rPr>
        <w:footnoteRef/>
      </w:r>
      <w:r w:rsidRPr="002D3A5C">
        <w:t xml:space="preserve"> ibid.</w:t>
      </w:r>
    </w:p>
  </w:footnote>
  <w:footnote w:id="32">
    <w:p w14:paraId="73883FF1" w14:textId="6A4AF153" w:rsidR="00613755" w:rsidRPr="002D3A5C" w:rsidRDefault="00613755" w:rsidP="002D3A5C">
      <w:pPr>
        <w:pStyle w:val="FootnoteText"/>
        <w:jc w:val="both"/>
      </w:pPr>
      <w:r w:rsidRPr="002D3A5C">
        <w:rPr>
          <w:rStyle w:val="FootnoteReference"/>
        </w:rPr>
        <w:footnoteRef/>
      </w:r>
      <w:r w:rsidRPr="002D3A5C">
        <w:t xml:space="preserve"> </w:t>
      </w:r>
      <w:r w:rsidR="00666840" w:rsidRPr="002D3A5C">
        <w:t>ibid.</w:t>
      </w:r>
    </w:p>
  </w:footnote>
  <w:footnote w:id="33">
    <w:p w14:paraId="1C7B0E25" w14:textId="0D1EA3C0" w:rsidR="00891309" w:rsidRPr="002D3A5C" w:rsidRDefault="00891309" w:rsidP="002D3A5C">
      <w:pPr>
        <w:pStyle w:val="FootnoteText"/>
        <w:jc w:val="both"/>
      </w:pPr>
      <w:r w:rsidRPr="002D3A5C">
        <w:rPr>
          <w:rStyle w:val="FootnoteReference"/>
        </w:rPr>
        <w:footnoteRef/>
      </w:r>
      <w:r w:rsidRPr="002D3A5C">
        <w:t xml:space="preserve"> ibid.</w:t>
      </w:r>
    </w:p>
  </w:footnote>
  <w:footnote w:id="34">
    <w:p w14:paraId="7FF05E4C" w14:textId="46B63C85" w:rsidR="00B65C00" w:rsidRPr="002D3A5C" w:rsidRDefault="00B65C00" w:rsidP="002D3A5C">
      <w:pPr>
        <w:pStyle w:val="FootnoteText"/>
        <w:jc w:val="both"/>
      </w:pPr>
      <w:r w:rsidRPr="002D3A5C">
        <w:rPr>
          <w:rStyle w:val="FootnoteReference"/>
        </w:rPr>
        <w:footnoteRef/>
      </w:r>
      <w:r w:rsidRPr="002D3A5C">
        <w:t xml:space="preserve"> ibid 112, referring to W </w:t>
      </w:r>
      <w:proofErr w:type="spellStart"/>
      <w:r w:rsidRPr="002D3A5C">
        <w:t>Lowrie</w:t>
      </w:r>
      <w:proofErr w:type="spellEnd"/>
      <w:r w:rsidRPr="002D3A5C">
        <w:t xml:space="preserve"> and </w:t>
      </w:r>
      <w:proofErr w:type="spellStart"/>
      <w:r w:rsidRPr="002D3A5C">
        <w:t>MS</w:t>
      </w:r>
      <w:r w:rsidR="00D07753" w:rsidRPr="002D3A5C">
        <w:t>t</w:t>
      </w:r>
      <w:r w:rsidRPr="002D3A5C">
        <w:t>C</w:t>
      </w:r>
      <w:proofErr w:type="spellEnd"/>
      <w:r w:rsidRPr="002D3A5C">
        <w:t xml:space="preserve"> Clark (eds), </w:t>
      </w:r>
      <w:r w:rsidRPr="002D3A5C">
        <w:rPr>
          <w:i/>
          <w:iCs/>
        </w:rPr>
        <w:t>American State Papers, Finance</w:t>
      </w:r>
      <w:r w:rsidRPr="002D3A5C">
        <w:t xml:space="preserve"> (Washington, </w:t>
      </w:r>
      <w:proofErr w:type="gramStart"/>
      <w:r w:rsidRPr="002D3A5C">
        <w:t>Gales</w:t>
      </w:r>
      <w:proofErr w:type="gramEnd"/>
      <w:r w:rsidRPr="002D3A5C">
        <w:t xml:space="preserve"> and Seaton</w:t>
      </w:r>
      <w:r w:rsidR="000D6897" w:rsidRPr="002D3A5C">
        <w:t>,</w:t>
      </w:r>
      <w:r w:rsidRPr="002D3A5C">
        <w:t xml:space="preserve"> 1832–61)</w:t>
      </w:r>
      <w:r w:rsidR="000D6897" w:rsidRPr="002D3A5C">
        <w:t>.</w:t>
      </w:r>
    </w:p>
  </w:footnote>
  <w:footnote w:id="35">
    <w:p w14:paraId="1E652A8E" w14:textId="45D85716" w:rsidR="00EC05C1" w:rsidRPr="002D3A5C" w:rsidRDefault="00EC05C1" w:rsidP="002D3A5C">
      <w:pPr>
        <w:autoSpaceDE w:val="0"/>
        <w:autoSpaceDN w:val="0"/>
        <w:adjustRightInd w:val="0"/>
        <w:spacing w:after="0" w:line="240" w:lineRule="auto"/>
        <w:jc w:val="both"/>
        <w:rPr>
          <w:sz w:val="20"/>
          <w:szCs w:val="20"/>
        </w:rPr>
      </w:pPr>
      <w:r w:rsidRPr="002D3A5C">
        <w:rPr>
          <w:rStyle w:val="FootnoteReference"/>
          <w:sz w:val="20"/>
          <w:szCs w:val="20"/>
        </w:rPr>
        <w:footnoteRef/>
      </w:r>
      <w:r w:rsidRPr="002D3A5C">
        <w:rPr>
          <w:sz w:val="20"/>
          <w:szCs w:val="20"/>
        </w:rPr>
        <w:t xml:space="preserve"> ibid 111.</w:t>
      </w:r>
      <w:r w:rsidR="00B83CAC" w:rsidRPr="002D3A5C">
        <w:rPr>
          <w:sz w:val="20"/>
          <w:szCs w:val="20"/>
        </w:rPr>
        <w:t xml:space="preserve"> It is generally considered that the colonists, in comparison with residents of Great Britain suffered a lower burden of tax and a higher standard of living. See J Keown, ‘</w:t>
      </w:r>
      <w:r w:rsidR="0046721E" w:rsidRPr="002D3A5C">
        <w:rPr>
          <w:sz w:val="20"/>
          <w:szCs w:val="20"/>
        </w:rPr>
        <w:t>America’s War for Independence: Just or Unjust?</w:t>
      </w:r>
      <w:r w:rsidR="00FE4B47" w:rsidRPr="002D3A5C">
        <w:rPr>
          <w:sz w:val="20"/>
          <w:szCs w:val="20"/>
        </w:rPr>
        <w:t>’</w:t>
      </w:r>
      <w:r w:rsidR="0046721E" w:rsidRPr="002D3A5C">
        <w:rPr>
          <w:sz w:val="20"/>
          <w:szCs w:val="20"/>
        </w:rPr>
        <w:t xml:space="preserve"> </w:t>
      </w:r>
      <w:r w:rsidR="00FE4B47" w:rsidRPr="002D3A5C">
        <w:rPr>
          <w:sz w:val="20"/>
          <w:szCs w:val="20"/>
        </w:rPr>
        <w:t>(</w:t>
      </w:r>
      <w:r w:rsidR="0046721E" w:rsidRPr="002D3A5C">
        <w:rPr>
          <w:sz w:val="20"/>
          <w:szCs w:val="20"/>
        </w:rPr>
        <w:t>2009</w:t>
      </w:r>
      <w:r w:rsidR="00FE4B47" w:rsidRPr="002D3A5C">
        <w:rPr>
          <w:sz w:val="20"/>
          <w:szCs w:val="20"/>
        </w:rPr>
        <w:t>)</w:t>
      </w:r>
      <w:r w:rsidR="0046721E" w:rsidRPr="002D3A5C">
        <w:rPr>
          <w:sz w:val="20"/>
          <w:szCs w:val="20"/>
        </w:rPr>
        <w:t xml:space="preserve"> 6(2) </w:t>
      </w:r>
      <w:r w:rsidR="0046721E" w:rsidRPr="002D3A5C">
        <w:rPr>
          <w:i/>
          <w:iCs/>
          <w:sz w:val="20"/>
          <w:szCs w:val="20"/>
        </w:rPr>
        <w:t>Journal of Catholic Socialist Thought</w:t>
      </w:r>
      <w:r w:rsidR="0046721E" w:rsidRPr="002D3A5C">
        <w:rPr>
          <w:sz w:val="20"/>
          <w:szCs w:val="20"/>
        </w:rPr>
        <w:t xml:space="preserve"> 277, 284–6.</w:t>
      </w:r>
    </w:p>
  </w:footnote>
  <w:footnote w:id="36">
    <w:p w14:paraId="524882A1" w14:textId="55753768" w:rsidR="00204081" w:rsidRPr="002D3A5C" w:rsidRDefault="00204081" w:rsidP="002D3A5C">
      <w:pPr>
        <w:pStyle w:val="NormalWeb"/>
        <w:shd w:val="clear" w:color="auto" w:fill="FFFFFF"/>
        <w:spacing w:after="0" w:line="240" w:lineRule="auto"/>
        <w:jc w:val="both"/>
      </w:pPr>
      <w:r w:rsidRPr="002D3A5C">
        <w:rPr>
          <w:rStyle w:val="FootnoteReference"/>
          <w:sz w:val="20"/>
          <w:szCs w:val="20"/>
        </w:rPr>
        <w:footnoteRef/>
      </w:r>
      <w:r w:rsidRPr="002D3A5C">
        <w:rPr>
          <w:sz w:val="20"/>
          <w:szCs w:val="20"/>
        </w:rPr>
        <w:t xml:space="preserve"> </w:t>
      </w:r>
      <w:r w:rsidR="005D371D" w:rsidRPr="002D3A5C">
        <w:rPr>
          <w:sz w:val="20"/>
          <w:szCs w:val="20"/>
        </w:rPr>
        <w:t xml:space="preserve">This convened on 10 May </w:t>
      </w:r>
      <w:r w:rsidRPr="002D3A5C">
        <w:rPr>
          <w:rFonts w:eastAsia="Times New Roman"/>
          <w:sz w:val="20"/>
          <w:szCs w:val="20"/>
          <w:lang w:eastAsia="en-GB"/>
        </w:rPr>
        <w:t>1775, shortly after the</w:t>
      </w:r>
      <w:r w:rsidR="005D371D" w:rsidRPr="002D3A5C">
        <w:rPr>
          <w:rFonts w:eastAsia="Times New Roman"/>
          <w:sz w:val="20"/>
          <w:szCs w:val="20"/>
          <w:lang w:eastAsia="en-GB"/>
        </w:rPr>
        <w:t xml:space="preserve"> Battles of Lexington and Concord, and was successor to the First Continental Congress, which met (in Philadelphia) from 5 September to 26 October 1775. Following the adoption of the Lee Resolution, declaring</w:t>
      </w:r>
      <w:r w:rsidR="00823790" w:rsidRPr="002D3A5C">
        <w:rPr>
          <w:rFonts w:eastAsia="Times New Roman"/>
          <w:sz w:val="20"/>
          <w:szCs w:val="20"/>
          <w:lang w:eastAsia="en-GB"/>
        </w:rPr>
        <w:t xml:space="preserve"> independence from Great Britain on 2 July 1776, the Congress approved the issue of the Declaration of Independence on 4 July 1776. The Congress drafted the Articles of Confederation and Perpetual Union, which formed the first constitution and established the United States of America as a separate</w:t>
      </w:r>
      <w:r w:rsidR="00C2532E" w:rsidRPr="002D3A5C">
        <w:rPr>
          <w:rFonts w:eastAsia="Times New Roman"/>
          <w:sz w:val="20"/>
          <w:szCs w:val="20"/>
          <w:lang w:eastAsia="en-GB"/>
        </w:rPr>
        <w:t xml:space="preserve"> sovereign power.</w:t>
      </w:r>
    </w:p>
  </w:footnote>
  <w:footnote w:id="37">
    <w:p w14:paraId="254D073B" w14:textId="17B60770" w:rsidR="003B61CD" w:rsidRPr="002D3A5C" w:rsidRDefault="003B61CD" w:rsidP="002D3A5C">
      <w:pPr>
        <w:pStyle w:val="FootnoteText"/>
        <w:jc w:val="both"/>
      </w:pPr>
      <w:r w:rsidRPr="002D3A5C">
        <w:rPr>
          <w:rStyle w:val="FootnoteReference"/>
        </w:rPr>
        <w:footnoteRef/>
      </w:r>
      <w:r w:rsidRPr="002D3A5C">
        <w:t xml:space="preserve"> RA Becker, ‘Currency, Taxation, and Finance, 1775–1787’, in JP Green and JR Pole (eds), </w:t>
      </w:r>
      <w:r w:rsidRPr="002D3A5C">
        <w:rPr>
          <w:i/>
          <w:iCs/>
        </w:rPr>
        <w:t xml:space="preserve">A Companion </w:t>
      </w:r>
      <w:r w:rsidR="00367F7F" w:rsidRPr="002D3A5C">
        <w:rPr>
          <w:i/>
          <w:iCs/>
        </w:rPr>
        <w:t>to</w:t>
      </w:r>
      <w:r w:rsidRPr="002D3A5C">
        <w:rPr>
          <w:i/>
          <w:iCs/>
        </w:rPr>
        <w:t xml:space="preserve"> the American Revolution</w:t>
      </w:r>
      <w:r w:rsidRPr="002D3A5C">
        <w:t xml:space="preserve"> (Oxford, Blackwell Publishers Ltd, 2000)</w:t>
      </w:r>
      <w:r w:rsidR="00367F7F" w:rsidRPr="002D3A5C">
        <w:t xml:space="preserve"> 389</w:t>
      </w:r>
      <w:r w:rsidRPr="002D3A5C">
        <w:t>.</w:t>
      </w:r>
    </w:p>
  </w:footnote>
  <w:footnote w:id="38">
    <w:p w14:paraId="051711E9" w14:textId="7B06AC0B" w:rsidR="006A115A" w:rsidRPr="002D3A5C" w:rsidRDefault="006A115A" w:rsidP="002D3A5C">
      <w:pPr>
        <w:autoSpaceDE w:val="0"/>
        <w:autoSpaceDN w:val="0"/>
        <w:adjustRightInd w:val="0"/>
        <w:spacing w:after="0" w:line="240" w:lineRule="auto"/>
        <w:jc w:val="both"/>
        <w:rPr>
          <w:sz w:val="20"/>
          <w:szCs w:val="20"/>
        </w:rPr>
      </w:pPr>
      <w:r w:rsidRPr="002D3A5C">
        <w:rPr>
          <w:rStyle w:val="FootnoteReference"/>
          <w:sz w:val="20"/>
          <w:szCs w:val="20"/>
        </w:rPr>
        <w:footnoteRef/>
      </w:r>
      <w:r w:rsidRPr="002D3A5C">
        <w:rPr>
          <w:sz w:val="20"/>
          <w:szCs w:val="20"/>
        </w:rPr>
        <w:t xml:space="preserve"> See F Grubb, ‘The US Constitution and Monetary </w:t>
      </w:r>
      <w:r w:rsidR="006A1605" w:rsidRPr="002D3A5C">
        <w:rPr>
          <w:sz w:val="20"/>
          <w:szCs w:val="20"/>
        </w:rPr>
        <w:t>P</w:t>
      </w:r>
      <w:r w:rsidRPr="002D3A5C">
        <w:rPr>
          <w:sz w:val="20"/>
          <w:szCs w:val="20"/>
        </w:rPr>
        <w:t xml:space="preserve">owers: An Analysis of the 1787 Constitutional Convention and the </w:t>
      </w:r>
      <w:r w:rsidR="006A1605" w:rsidRPr="002D3A5C">
        <w:rPr>
          <w:sz w:val="20"/>
          <w:szCs w:val="20"/>
        </w:rPr>
        <w:t>C</w:t>
      </w:r>
      <w:r w:rsidRPr="002D3A5C">
        <w:rPr>
          <w:sz w:val="20"/>
          <w:szCs w:val="20"/>
        </w:rPr>
        <w:t xml:space="preserve">onstitutional </w:t>
      </w:r>
      <w:r w:rsidR="006A1605" w:rsidRPr="002D3A5C">
        <w:rPr>
          <w:sz w:val="20"/>
          <w:szCs w:val="20"/>
        </w:rPr>
        <w:t>T</w:t>
      </w:r>
      <w:r w:rsidRPr="002D3A5C">
        <w:rPr>
          <w:sz w:val="20"/>
          <w:szCs w:val="20"/>
        </w:rPr>
        <w:t xml:space="preserve">ransformation of the US </w:t>
      </w:r>
      <w:r w:rsidR="006A1605" w:rsidRPr="002D3A5C">
        <w:rPr>
          <w:sz w:val="20"/>
          <w:szCs w:val="20"/>
        </w:rPr>
        <w:t>M</w:t>
      </w:r>
      <w:r w:rsidRPr="002D3A5C">
        <w:rPr>
          <w:sz w:val="20"/>
          <w:szCs w:val="20"/>
        </w:rPr>
        <w:t xml:space="preserve">onetary </w:t>
      </w:r>
      <w:r w:rsidR="006A1605" w:rsidRPr="002D3A5C">
        <w:rPr>
          <w:sz w:val="20"/>
          <w:szCs w:val="20"/>
        </w:rPr>
        <w:t>S</w:t>
      </w:r>
      <w:r w:rsidRPr="002D3A5C">
        <w:rPr>
          <w:sz w:val="20"/>
          <w:szCs w:val="20"/>
        </w:rPr>
        <w:t>ystem’</w:t>
      </w:r>
      <w:r w:rsidR="006A1605" w:rsidRPr="002D3A5C">
        <w:rPr>
          <w:sz w:val="20"/>
          <w:szCs w:val="20"/>
        </w:rPr>
        <w:t xml:space="preserve"> (2006) 13(1) </w:t>
      </w:r>
      <w:r w:rsidR="006A1605" w:rsidRPr="002D3A5C">
        <w:rPr>
          <w:i/>
          <w:iCs/>
          <w:sz w:val="20"/>
          <w:szCs w:val="20"/>
        </w:rPr>
        <w:t>Financial History Review</w:t>
      </w:r>
      <w:r w:rsidR="006A1605" w:rsidRPr="002D3A5C">
        <w:rPr>
          <w:sz w:val="20"/>
          <w:szCs w:val="20"/>
        </w:rPr>
        <w:t xml:space="preserve"> 43. Grubb makes the point that the American colonies were some of the first to experiment successfully with fiat money, and </w:t>
      </w:r>
      <w:r w:rsidR="005D1415" w:rsidRPr="002D3A5C">
        <w:rPr>
          <w:sz w:val="20"/>
          <w:szCs w:val="20"/>
        </w:rPr>
        <w:t>by</w:t>
      </w:r>
      <w:r w:rsidR="006A1605" w:rsidRPr="002D3A5C">
        <w:rPr>
          <w:sz w:val="20"/>
          <w:szCs w:val="20"/>
        </w:rPr>
        <w:t xml:space="preserve"> 1750</w:t>
      </w:r>
      <w:r w:rsidR="005D1415" w:rsidRPr="002D3A5C">
        <w:rPr>
          <w:sz w:val="20"/>
          <w:szCs w:val="20"/>
        </w:rPr>
        <w:t xml:space="preserve">, were </w:t>
      </w:r>
      <w:proofErr w:type="gramStart"/>
      <w:r w:rsidR="005D1415" w:rsidRPr="002D3A5C">
        <w:rPr>
          <w:sz w:val="20"/>
          <w:szCs w:val="20"/>
        </w:rPr>
        <w:t>handling effectively</w:t>
      </w:r>
      <w:proofErr w:type="gramEnd"/>
      <w:r w:rsidR="005D1415" w:rsidRPr="002D3A5C">
        <w:rPr>
          <w:sz w:val="20"/>
          <w:szCs w:val="20"/>
        </w:rPr>
        <w:t xml:space="preserve"> their tax-backed paper money systems</w:t>
      </w:r>
      <w:r w:rsidR="006A1605" w:rsidRPr="002D3A5C">
        <w:rPr>
          <w:sz w:val="20"/>
          <w:szCs w:val="20"/>
        </w:rPr>
        <w:t>.</w:t>
      </w:r>
      <w:r w:rsidR="005D1415" w:rsidRPr="002D3A5C">
        <w:rPr>
          <w:sz w:val="20"/>
          <w:szCs w:val="20"/>
        </w:rPr>
        <w:t xml:space="preserve"> The paper money could be used to pay the state of issue’s taxes, at par value. He argues that state power to tax meant that that</w:t>
      </w:r>
      <w:r w:rsidR="00927272" w:rsidRPr="002D3A5C">
        <w:rPr>
          <w:sz w:val="20"/>
          <w:szCs w:val="20"/>
        </w:rPr>
        <w:t xml:space="preserve"> state currencies remained stronger than the Continental (or ‘national’) currency.</w:t>
      </w:r>
    </w:p>
  </w:footnote>
  <w:footnote w:id="39">
    <w:p w14:paraId="7841521E" w14:textId="4CC2F3D3" w:rsidR="00271268" w:rsidRPr="002D3A5C" w:rsidRDefault="00271268" w:rsidP="002D3A5C">
      <w:pPr>
        <w:pStyle w:val="FootnoteText"/>
        <w:jc w:val="both"/>
      </w:pPr>
      <w:r w:rsidRPr="002D3A5C">
        <w:rPr>
          <w:rStyle w:val="FootnoteReference"/>
        </w:rPr>
        <w:footnoteRef/>
      </w:r>
      <w:r w:rsidRPr="002D3A5C">
        <w:t xml:space="preserve"> </w:t>
      </w:r>
      <w:r w:rsidR="006A1605" w:rsidRPr="002D3A5C">
        <w:t>Above n 3</w:t>
      </w:r>
      <w:r w:rsidR="00CF3730" w:rsidRPr="002D3A5C">
        <w:t>7</w:t>
      </w:r>
      <w:r w:rsidR="006A1605" w:rsidRPr="002D3A5C">
        <w:t xml:space="preserve">, </w:t>
      </w:r>
      <w:r w:rsidRPr="002D3A5C">
        <w:t>391.</w:t>
      </w:r>
    </w:p>
  </w:footnote>
  <w:footnote w:id="40">
    <w:p w14:paraId="3663F8A5" w14:textId="787DDBCC" w:rsidR="00E86090" w:rsidRPr="002D3A5C" w:rsidRDefault="00E86090" w:rsidP="002D3A5C">
      <w:pPr>
        <w:pStyle w:val="FootnoteText"/>
        <w:jc w:val="both"/>
      </w:pPr>
      <w:r w:rsidRPr="002D3A5C">
        <w:rPr>
          <w:rStyle w:val="FootnoteReference"/>
        </w:rPr>
        <w:footnoteRef/>
      </w:r>
      <w:r w:rsidRPr="002D3A5C">
        <w:t xml:space="preserve"> ibid 392.</w:t>
      </w:r>
    </w:p>
  </w:footnote>
  <w:footnote w:id="41">
    <w:p w14:paraId="58C5F217" w14:textId="34DB908B" w:rsidR="00E86090" w:rsidRPr="002D3A5C" w:rsidRDefault="00E86090" w:rsidP="002D3A5C">
      <w:pPr>
        <w:pStyle w:val="FootnoteText"/>
        <w:jc w:val="both"/>
      </w:pPr>
      <w:r w:rsidRPr="002D3A5C">
        <w:rPr>
          <w:rStyle w:val="FootnoteReference"/>
        </w:rPr>
        <w:footnoteRef/>
      </w:r>
      <w:r w:rsidRPr="002D3A5C">
        <w:t xml:space="preserve"> CK Shipton (ed), </w:t>
      </w:r>
      <w:r w:rsidRPr="002D3A5C">
        <w:rPr>
          <w:i/>
          <w:iCs/>
        </w:rPr>
        <w:t xml:space="preserve">Early American Imprints, 1639–1800: A Microprint Compilation by the </w:t>
      </w:r>
      <w:bookmarkStart w:id="4" w:name="_Hlk105238000"/>
      <w:r w:rsidRPr="002D3A5C">
        <w:rPr>
          <w:i/>
          <w:iCs/>
        </w:rPr>
        <w:t>American Antiquarian Society</w:t>
      </w:r>
      <w:r w:rsidRPr="002D3A5C">
        <w:t xml:space="preserve"> </w:t>
      </w:r>
      <w:bookmarkEnd w:id="4"/>
      <w:r w:rsidRPr="002D3A5C">
        <w:t>(Worcester, Massachusetts</w:t>
      </w:r>
      <w:r w:rsidR="00662388" w:rsidRPr="002D3A5C">
        <w:t>, American Antiquarian Society, 1955).</w:t>
      </w:r>
    </w:p>
  </w:footnote>
  <w:footnote w:id="42">
    <w:p w14:paraId="58A3A38C" w14:textId="6E10D093" w:rsidR="002D16B0" w:rsidRPr="002D3A5C" w:rsidRDefault="002D16B0" w:rsidP="002D3A5C">
      <w:pPr>
        <w:pStyle w:val="FootnoteText"/>
        <w:jc w:val="both"/>
      </w:pPr>
      <w:r w:rsidRPr="002D3A5C">
        <w:rPr>
          <w:rStyle w:val="FootnoteReference"/>
        </w:rPr>
        <w:footnoteRef/>
      </w:r>
      <w:r w:rsidRPr="002D3A5C">
        <w:t xml:space="preserve"> Above n 3</w:t>
      </w:r>
      <w:r w:rsidR="00FD06FF" w:rsidRPr="002D3A5C">
        <w:t>7</w:t>
      </w:r>
      <w:r w:rsidRPr="002D3A5C">
        <w:t>, 393.</w:t>
      </w:r>
    </w:p>
  </w:footnote>
  <w:footnote w:id="43">
    <w:p w14:paraId="3EDF65E9" w14:textId="3909799A" w:rsidR="005132C9" w:rsidRPr="002D3A5C" w:rsidRDefault="005132C9" w:rsidP="002D3A5C">
      <w:pPr>
        <w:pStyle w:val="FootnoteText"/>
        <w:jc w:val="both"/>
      </w:pPr>
      <w:r w:rsidRPr="002D3A5C">
        <w:rPr>
          <w:rStyle w:val="FootnoteReference"/>
        </w:rPr>
        <w:footnoteRef/>
      </w:r>
      <w:r w:rsidRPr="002D3A5C">
        <w:t xml:space="preserve"> ibid.</w:t>
      </w:r>
    </w:p>
  </w:footnote>
  <w:footnote w:id="44">
    <w:p w14:paraId="16BC3AA4" w14:textId="0F29EF82" w:rsidR="005132C9" w:rsidRPr="002D3A5C" w:rsidRDefault="005132C9" w:rsidP="002D3A5C">
      <w:pPr>
        <w:pStyle w:val="FootnoteText"/>
        <w:jc w:val="both"/>
      </w:pPr>
      <w:r w:rsidRPr="002D3A5C">
        <w:rPr>
          <w:rStyle w:val="FootnoteReference"/>
        </w:rPr>
        <w:footnoteRef/>
      </w:r>
      <w:r w:rsidRPr="002D3A5C">
        <w:t xml:space="preserve"> ibid.</w:t>
      </w:r>
    </w:p>
  </w:footnote>
  <w:footnote w:id="45">
    <w:p w14:paraId="24B3E130" w14:textId="61B1BEAF" w:rsidR="002D16B0" w:rsidRPr="002D3A5C" w:rsidRDefault="002D16B0" w:rsidP="002D3A5C">
      <w:pPr>
        <w:pStyle w:val="FootnoteText"/>
        <w:jc w:val="both"/>
      </w:pPr>
      <w:r w:rsidRPr="002D3A5C">
        <w:rPr>
          <w:rStyle w:val="FootnoteReference"/>
        </w:rPr>
        <w:footnoteRef/>
      </w:r>
      <w:r w:rsidRPr="002D3A5C">
        <w:t xml:space="preserve"> ibid.</w:t>
      </w:r>
    </w:p>
  </w:footnote>
  <w:footnote w:id="46">
    <w:p w14:paraId="6059E261" w14:textId="7A14B6AC" w:rsidR="00CD358D" w:rsidRPr="002D3A5C" w:rsidRDefault="00CD358D" w:rsidP="002D3A5C">
      <w:pPr>
        <w:pStyle w:val="FootnoteText"/>
        <w:jc w:val="both"/>
      </w:pPr>
      <w:r w:rsidRPr="002D3A5C">
        <w:rPr>
          <w:rStyle w:val="FootnoteReference"/>
        </w:rPr>
        <w:footnoteRef/>
      </w:r>
      <w:r w:rsidRPr="002D3A5C">
        <w:t xml:space="preserve"> ibid 395.</w:t>
      </w:r>
    </w:p>
  </w:footnote>
  <w:footnote w:id="47">
    <w:p w14:paraId="705E4FC9" w14:textId="7FAA1F09" w:rsidR="009434B5" w:rsidRPr="002D3A5C" w:rsidRDefault="009434B5" w:rsidP="002D3A5C">
      <w:pPr>
        <w:pStyle w:val="FootnoteText"/>
        <w:jc w:val="both"/>
      </w:pPr>
      <w:r w:rsidRPr="002D3A5C">
        <w:rPr>
          <w:rStyle w:val="FootnoteReference"/>
        </w:rPr>
        <w:footnoteRef/>
      </w:r>
      <w:r w:rsidRPr="002D3A5C">
        <w:t xml:space="preserve"> </w:t>
      </w:r>
      <w:r w:rsidR="00625AE1" w:rsidRPr="002D3A5C">
        <w:t>Meaning to raise tax in proportion to requirements and remove the money from circulation, that is, to establish a sinking fund.</w:t>
      </w:r>
    </w:p>
  </w:footnote>
  <w:footnote w:id="48">
    <w:p w14:paraId="08B58C0D" w14:textId="161E78F6" w:rsidR="00625AE1" w:rsidRPr="002D3A5C" w:rsidRDefault="00625AE1" w:rsidP="002D3A5C">
      <w:pPr>
        <w:pStyle w:val="FootnoteText"/>
        <w:jc w:val="both"/>
      </w:pPr>
      <w:r w:rsidRPr="002D3A5C">
        <w:rPr>
          <w:rStyle w:val="FootnoteReference"/>
        </w:rPr>
        <w:footnoteRef/>
      </w:r>
      <w:r w:rsidRPr="002D3A5C">
        <w:t xml:space="preserve"> Above n 3</w:t>
      </w:r>
      <w:r w:rsidR="00FD06FF" w:rsidRPr="002D3A5C">
        <w:t>7</w:t>
      </w:r>
      <w:r w:rsidRPr="002D3A5C">
        <w:t xml:space="preserve">, 395–6. Rioting broke out in Massachusetts, which became known as </w:t>
      </w:r>
      <w:proofErr w:type="spellStart"/>
      <w:r w:rsidR="00935C56" w:rsidRPr="002D3A5C">
        <w:t>Shay</w:t>
      </w:r>
      <w:r w:rsidR="00250373" w:rsidRPr="002D3A5C">
        <w:t>s</w:t>
      </w:r>
      <w:r w:rsidR="00935C56" w:rsidRPr="002D3A5C">
        <w:t>’s</w:t>
      </w:r>
      <w:proofErr w:type="spellEnd"/>
      <w:r w:rsidR="00935C56" w:rsidRPr="002D3A5C">
        <w:t xml:space="preserve"> Rebellion.</w:t>
      </w:r>
      <w:r w:rsidR="007339F1" w:rsidRPr="002D3A5C">
        <w:t xml:space="preserve"> See also MM </w:t>
      </w:r>
      <w:proofErr w:type="spellStart"/>
      <w:r w:rsidR="007339F1" w:rsidRPr="002D3A5C">
        <w:t>Edling</w:t>
      </w:r>
      <w:proofErr w:type="spellEnd"/>
      <w:r w:rsidR="007339F1" w:rsidRPr="002D3A5C">
        <w:t xml:space="preserve"> and MD </w:t>
      </w:r>
      <w:proofErr w:type="spellStart"/>
      <w:r w:rsidR="007339F1" w:rsidRPr="002D3A5C">
        <w:t>Kaplanoff</w:t>
      </w:r>
      <w:proofErr w:type="spellEnd"/>
      <w:r w:rsidR="007339F1" w:rsidRPr="002D3A5C">
        <w:t xml:space="preserve">, ‘Alexander Hamilton's Fiscal Reform: Transforming the Structure of Taxation in the Early Republic’ (2004) 61(4) </w:t>
      </w:r>
      <w:r w:rsidR="007339F1" w:rsidRPr="002D3A5C">
        <w:rPr>
          <w:i/>
          <w:iCs/>
        </w:rPr>
        <w:t>William and Mary Quarterly, Third Series</w:t>
      </w:r>
      <w:r w:rsidR="007339F1" w:rsidRPr="002D3A5C">
        <w:t xml:space="preserve"> 713</w:t>
      </w:r>
      <w:r w:rsidR="009A354C" w:rsidRPr="002D3A5C">
        <w:t>, 714</w:t>
      </w:r>
      <w:r w:rsidR="007339F1" w:rsidRPr="002D3A5C">
        <w:t>.</w:t>
      </w:r>
    </w:p>
  </w:footnote>
  <w:footnote w:id="49">
    <w:p w14:paraId="7CF4A74C" w14:textId="2A133C07" w:rsidR="00935C56" w:rsidRPr="002D3A5C" w:rsidRDefault="00935C56" w:rsidP="002D3A5C">
      <w:pPr>
        <w:pStyle w:val="FootnoteText"/>
        <w:jc w:val="both"/>
      </w:pPr>
      <w:r w:rsidRPr="002D3A5C">
        <w:rPr>
          <w:rStyle w:val="FootnoteReference"/>
        </w:rPr>
        <w:footnoteRef/>
      </w:r>
      <w:r w:rsidRPr="002D3A5C">
        <w:t xml:space="preserve"> </w:t>
      </w:r>
      <w:r w:rsidR="00250373" w:rsidRPr="002D3A5C">
        <w:t>Above n 3</w:t>
      </w:r>
      <w:r w:rsidR="00FD06FF" w:rsidRPr="002D3A5C">
        <w:t>7</w:t>
      </w:r>
      <w:r w:rsidR="00250373" w:rsidRPr="002D3A5C">
        <w:t>,</w:t>
      </w:r>
      <w:r w:rsidRPr="002D3A5C">
        <w:t xml:space="preserve"> 396.</w:t>
      </w:r>
    </w:p>
  </w:footnote>
  <w:footnote w:id="50">
    <w:p w14:paraId="44251290" w14:textId="3EF29709" w:rsidR="005C61A7" w:rsidRPr="002D3A5C" w:rsidRDefault="005C61A7" w:rsidP="002D3A5C">
      <w:pPr>
        <w:pStyle w:val="FootnoteText"/>
        <w:jc w:val="both"/>
      </w:pPr>
      <w:r w:rsidRPr="002D3A5C">
        <w:rPr>
          <w:rStyle w:val="FootnoteReference"/>
        </w:rPr>
        <w:footnoteRef/>
      </w:r>
      <w:r w:rsidRPr="002D3A5C">
        <w:t xml:space="preserve"> This is part of </w:t>
      </w:r>
      <w:r w:rsidRPr="002D3A5C">
        <w:rPr>
          <w:i/>
          <w:iCs/>
        </w:rPr>
        <w:t>The American Crisis</w:t>
      </w:r>
      <w:r w:rsidRPr="002D3A5C">
        <w:t xml:space="preserve"> – see above n 1</w:t>
      </w:r>
      <w:r w:rsidR="00FD06FF" w:rsidRPr="002D3A5C">
        <w:t>9</w:t>
      </w:r>
      <w:r w:rsidRPr="002D3A5C">
        <w:t>.</w:t>
      </w:r>
    </w:p>
  </w:footnote>
  <w:footnote w:id="51">
    <w:p w14:paraId="05937C15" w14:textId="23A34674" w:rsidR="004E2F6D" w:rsidRPr="002D3A5C" w:rsidRDefault="004E2F6D" w:rsidP="002D3A5C">
      <w:pPr>
        <w:pStyle w:val="FootnoteText"/>
        <w:jc w:val="both"/>
      </w:pPr>
      <w:r w:rsidRPr="002D3A5C">
        <w:rPr>
          <w:rStyle w:val="FootnoteReference"/>
        </w:rPr>
        <w:footnoteRef/>
      </w:r>
      <w:r w:rsidRPr="002D3A5C">
        <w:t xml:space="preserve"> See, for example, D Lambright, ‘Man, Morality, and the United States Constitution’ (2015) 17(5) </w:t>
      </w:r>
      <w:r w:rsidRPr="002D3A5C">
        <w:rPr>
          <w:i/>
          <w:iCs/>
        </w:rPr>
        <w:t>University of Pennsylvania Journal of Constitutional Law</w:t>
      </w:r>
      <w:r w:rsidRPr="002D3A5C">
        <w:t xml:space="preserve"> 1487.</w:t>
      </w:r>
    </w:p>
  </w:footnote>
  <w:footnote w:id="52">
    <w:p w14:paraId="71C76F38" w14:textId="66C88C28" w:rsidR="00554226" w:rsidRPr="002D3A5C" w:rsidRDefault="00554226" w:rsidP="002D3A5C">
      <w:pPr>
        <w:pStyle w:val="Default"/>
        <w:jc w:val="both"/>
      </w:pPr>
      <w:r w:rsidRPr="002D3A5C">
        <w:rPr>
          <w:rStyle w:val="FootnoteReference"/>
          <w:rFonts w:ascii="Times New Roman" w:hAnsi="Times New Roman" w:cs="Times New Roman"/>
          <w:sz w:val="20"/>
          <w:szCs w:val="20"/>
        </w:rPr>
        <w:footnoteRef/>
      </w:r>
      <w:r w:rsidRPr="002D3A5C">
        <w:rPr>
          <w:rFonts w:ascii="Times New Roman" w:hAnsi="Times New Roman" w:cs="Times New Roman"/>
          <w:sz w:val="20"/>
          <w:szCs w:val="20"/>
        </w:rPr>
        <w:t xml:space="preserve"> T </w:t>
      </w:r>
      <w:proofErr w:type="spellStart"/>
      <w:r w:rsidRPr="002D3A5C">
        <w:rPr>
          <w:rFonts w:ascii="Times New Roman" w:hAnsi="Times New Roman" w:cs="Times New Roman"/>
          <w:sz w:val="20"/>
          <w:szCs w:val="20"/>
        </w:rPr>
        <w:t>Asadi</w:t>
      </w:r>
      <w:proofErr w:type="spellEnd"/>
      <w:r w:rsidRPr="002D3A5C">
        <w:rPr>
          <w:rFonts w:ascii="Times New Roman" w:hAnsi="Times New Roman" w:cs="Times New Roman"/>
          <w:sz w:val="20"/>
          <w:szCs w:val="20"/>
        </w:rPr>
        <w:t>,</w:t>
      </w:r>
      <w:r w:rsidR="0053198B" w:rsidRPr="002D3A5C">
        <w:rPr>
          <w:rFonts w:ascii="Times New Roman" w:hAnsi="Times New Roman" w:cs="Times New Roman"/>
          <w:sz w:val="20"/>
          <w:szCs w:val="20"/>
        </w:rPr>
        <w:t xml:space="preserve"> ‘</w:t>
      </w:r>
      <w:proofErr w:type="spellStart"/>
      <w:r w:rsidR="0053198B" w:rsidRPr="002D3A5C">
        <w:rPr>
          <w:rFonts w:ascii="Times New Roman" w:hAnsi="Times New Roman" w:cs="Times New Roman"/>
          <w:sz w:val="20"/>
          <w:szCs w:val="20"/>
        </w:rPr>
        <w:t>En</w:t>
      </w:r>
      <w:proofErr w:type="spellEnd"/>
      <w:r w:rsidR="0053198B" w:rsidRPr="002D3A5C">
        <w:rPr>
          <w:rFonts w:ascii="Times New Roman" w:hAnsi="Times New Roman" w:cs="Times New Roman"/>
          <w:sz w:val="20"/>
          <w:szCs w:val="20"/>
        </w:rPr>
        <w:t xml:space="preserve"> Route to the US Constitution: Founding Fathers and Lockean Philosophy’ (2015) 16 </w:t>
      </w:r>
      <w:r w:rsidR="0053198B" w:rsidRPr="002D3A5C">
        <w:rPr>
          <w:rFonts w:ascii="Times New Roman" w:hAnsi="Times New Roman" w:cs="Times New Roman"/>
          <w:i/>
          <w:iCs/>
          <w:sz w:val="20"/>
          <w:szCs w:val="20"/>
        </w:rPr>
        <w:t xml:space="preserve">Historia </w:t>
      </w:r>
      <w:proofErr w:type="spellStart"/>
      <w:r w:rsidR="00D07753" w:rsidRPr="002D3A5C">
        <w:rPr>
          <w:rFonts w:ascii="Times New Roman" w:hAnsi="Times New Roman" w:cs="Times New Roman"/>
          <w:i/>
          <w:iCs/>
          <w:sz w:val="20"/>
          <w:szCs w:val="20"/>
        </w:rPr>
        <w:t>C</w:t>
      </w:r>
      <w:r w:rsidR="0053198B" w:rsidRPr="002D3A5C">
        <w:rPr>
          <w:rFonts w:ascii="Times New Roman" w:hAnsi="Times New Roman" w:cs="Times New Roman"/>
          <w:i/>
          <w:iCs/>
          <w:sz w:val="20"/>
          <w:szCs w:val="20"/>
        </w:rPr>
        <w:t>onstitucional</w:t>
      </w:r>
      <w:proofErr w:type="spellEnd"/>
      <w:r w:rsidR="0053198B" w:rsidRPr="002D3A5C">
        <w:rPr>
          <w:rFonts w:ascii="Times New Roman" w:hAnsi="Times New Roman" w:cs="Times New Roman"/>
          <w:i/>
          <w:iCs/>
          <w:sz w:val="20"/>
          <w:szCs w:val="20"/>
        </w:rPr>
        <w:t xml:space="preserve">: </w:t>
      </w:r>
      <w:proofErr w:type="spellStart"/>
      <w:r w:rsidR="0053198B" w:rsidRPr="002D3A5C">
        <w:rPr>
          <w:rFonts w:ascii="Times New Roman" w:hAnsi="Times New Roman" w:cs="Times New Roman"/>
          <w:i/>
          <w:iCs/>
          <w:sz w:val="20"/>
          <w:szCs w:val="20"/>
        </w:rPr>
        <w:t>Revista</w:t>
      </w:r>
      <w:proofErr w:type="spellEnd"/>
      <w:r w:rsidR="0053198B" w:rsidRPr="002D3A5C">
        <w:rPr>
          <w:rFonts w:ascii="Times New Roman" w:hAnsi="Times New Roman" w:cs="Times New Roman"/>
          <w:i/>
          <w:iCs/>
          <w:sz w:val="20"/>
          <w:szCs w:val="20"/>
        </w:rPr>
        <w:t xml:space="preserve"> </w:t>
      </w:r>
      <w:proofErr w:type="spellStart"/>
      <w:r w:rsidR="0053198B" w:rsidRPr="002D3A5C">
        <w:rPr>
          <w:rFonts w:ascii="Times New Roman" w:hAnsi="Times New Roman" w:cs="Times New Roman"/>
          <w:i/>
          <w:iCs/>
          <w:sz w:val="20"/>
          <w:szCs w:val="20"/>
        </w:rPr>
        <w:t>Electrónica</w:t>
      </w:r>
      <w:proofErr w:type="spellEnd"/>
      <w:r w:rsidR="0053198B" w:rsidRPr="002D3A5C">
        <w:rPr>
          <w:rFonts w:ascii="Times New Roman" w:hAnsi="Times New Roman" w:cs="Times New Roman"/>
          <w:i/>
          <w:iCs/>
          <w:sz w:val="20"/>
          <w:szCs w:val="20"/>
        </w:rPr>
        <w:t xml:space="preserve"> de Historia </w:t>
      </w:r>
      <w:proofErr w:type="spellStart"/>
      <w:r w:rsidR="0053198B" w:rsidRPr="002D3A5C">
        <w:rPr>
          <w:rFonts w:ascii="Times New Roman" w:hAnsi="Times New Roman" w:cs="Times New Roman"/>
          <w:i/>
          <w:iCs/>
          <w:sz w:val="20"/>
          <w:szCs w:val="20"/>
        </w:rPr>
        <w:t>Constitucional</w:t>
      </w:r>
      <w:proofErr w:type="spellEnd"/>
      <w:r w:rsidR="00D07753" w:rsidRPr="002D3A5C">
        <w:rPr>
          <w:rFonts w:ascii="Times New Roman" w:hAnsi="Times New Roman" w:cs="Times New Roman"/>
          <w:sz w:val="20"/>
          <w:szCs w:val="20"/>
        </w:rPr>
        <w:t xml:space="preserve"> 407.</w:t>
      </w:r>
    </w:p>
  </w:footnote>
  <w:footnote w:id="53">
    <w:p w14:paraId="1A52F140" w14:textId="1538795B" w:rsidR="00C0122E" w:rsidRPr="002D3A5C" w:rsidRDefault="00C0122E" w:rsidP="002D3A5C">
      <w:pPr>
        <w:pStyle w:val="FootnoteText"/>
        <w:jc w:val="both"/>
      </w:pPr>
      <w:r w:rsidRPr="002D3A5C">
        <w:rPr>
          <w:rStyle w:val="FootnoteReference"/>
        </w:rPr>
        <w:footnoteRef/>
      </w:r>
      <w:r w:rsidRPr="002D3A5C">
        <w:t xml:space="preserve"> DS Lutz, ‘The Relative Influence of European Writers on Late Eighteenth-Century American Political Thought</w:t>
      </w:r>
      <w:r w:rsidR="00AB3BAB" w:rsidRPr="002D3A5C">
        <w:t xml:space="preserve">’ (1984) 78(1) </w:t>
      </w:r>
      <w:r w:rsidR="00AB3BAB" w:rsidRPr="002D3A5C">
        <w:rPr>
          <w:i/>
          <w:iCs/>
        </w:rPr>
        <w:t>American Political Science Review</w:t>
      </w:r>
      <w:r w:rsidR="00AB3BAB" w:rsidRPr="002D3A5C">
        <w:t xml:space="preserve"> 189.</w:t>
      </w:r>
    </w:p>
  </w:footnote>
  <w:footnote w:id="54">
    <w:p w14:paraId="59BA251B" w14:textId="46A1397C" w:rsidR="00055440" w:rsidRPr="002D3A5C" w:rsidRDefault="00055440" w:rsidP="002D3A5C">
      <w:pPr>
        <w:pStyle w:val="FootnoteText"/>
        <w:jc w:val="both"/>
      </w:pPr>
      <w:r w:rsidRPr="002D3A5C">
        <w:rPr>
          <w:rStyle w:val="FootnoteReference"/>
        </w:rPr>
        <w:footnoteRef/>
      </w:r>
      <w:r w:rsidRPr="002D3A5C">
        <w:t xml:space="preserve"> ibid 191.</w:t>
      </w:r>
    </w:p>
  </w:footnote>
  <w:footnote w:id="55">
    <w:p w14:paraId="206C5620" w14:textId="66A9E66E" w:rsidR="00055440" w:rsidRPr="002D3A5C" w:rsidRDefault="00055440" w:rsidP="002D3A5C">
      <w:pPr>
        <w:pStyle w:val="FootnoteText"/>
        <w:jc w:val="both"/>
      </w:pPr>
      <w:r w:rsidRPr="002D3A5C">
        <w:rPr>
          <w:rStyle w:val="FootnoteReference"/>
        </w:rPr>
        <w:footnoteRef/>
      </w:r>
      <w:r w:rsidRPr="002D3A5C">
        <w:t xml:space="preserve"> </w:t>
      </w:r>
      <w:r w:rsidR="00053D0B" w:rsidRPr="002D3A5C">
        <w:t xml:space="preserve">HJ Storing, with M Dry, </w:t>
      </w:r>
      <w:r w:rsidR="00053D0B" w:rsidRPr="002D3A5C">
        <w:rPr>
          <w:i/>
          <w:iCs/>
        </w:rPr>
        <w:t xml:space="preserve">The Complete Anti-Federalist </w:t>
      </w:r>
      <w:r w:rsidR="004A3F29" w:rsidRPr="002D3A5C">
        <w:t>(Chicago, University of Chicago Press, 1981).</w:t>
      </w:r>
    </w:p>
  </w:footnote>
  <w:footnote w:id="56">
    <w:p w14:paraId="6B93CDCA" w14:textId="7B98FA79" w:rsidR="002E7D7B" w:rsidRPr="002D3A5C" w:rsidRDefault="002E7D7B" w:rsidP="002D3A5C">
      <w:pPr>
        <w:pStyle w:val="FootnoteText"/>
        <w:jc w:val="both"/>
      </w:pPr>
      <w:r w:rsidRPr="002D3A5C">
        <w:rPr>
          <w:rStyle w:val="FootnoteReference"/>
        </w:rPr>
        <w:footnoteRef/>
      </w:r>
      <w:r w:rsidRPr="002D3A5C">
        <w:t xml:space="preserve"> Above n </w:t>
      </w:r>
      <w:r w:rsidR="00A80D71" w:rsidRPr="002D3A5C">
        <w:t>5</w:t>
      </w:r>
      <w:r w:rsidR="00FD06FF" w:rsidRPr="002D3A5C">
        <w:t>3</w:t>
      </w:r>
      <w:r w:rsidRPr="002D3A5C">
        <w:t>, 191.</w:t>
      </w:r>
    </w:p>
  </w:footnote>
  <w:footnote w:id="57">
    <w:p w14:paraId="7454FA86" w14:textId="0F17F9F5" w:rsidR="007E3918" w:rsidRPr="002D3A5C" w:rsidRDefault="007E3918" w:rsidP="002D3A5C">
      <w:pPr>
        <w:pStyle w:val="FootnoteText"/>
        <w:jc w:val="both"/>
      </w:pPr>
      <w:r w:rsidRPr="002D3A5C">
        <w:rPr>
          <w:rStyle w:val="FootnoteReference"/>
        </w:rPr>
        <w:footnoteRef/>
      </w:r>
      <w:r w:rsidRPr="002D3A5C">
        <w:t xml:space="preserve"> English is, perhaps, notorious for having a wealth of finely nuanced words which </w:t>
      </w:r>
      <w:r w:rsidR="00422FB6" w:rsidRPr="002D3A5C">
        <w:t>bear</w:t>
      </w:r>
      <w:r w:rsidRPr="002D3A5C">
        <w:t xml:space="preserve"> the same or similar </w:t>
      </w:r>
      <w:r w:rsidR="00422FB6" w:rsidRPr="002D3A5C">
        <w:t>mean</w:t>
      </w:r>
      <w:r w:rsidRPr="002D3A5C">
        <w:t>ings. For instance, what is the precise difference between words like ‘fair’, ‘beautiful’, ‘pretty’, ‘attractive’</w:t>
      </w:r>
      <w:r w:rsidR="00422FB6" w:rsidRPr="002D3A5C">
        <w:t xml:space="preserve">, ‘lovely’, </w:t>
      </w:r>
      <w:r w:rsidR="00874F00" w:rsidRPr="002D3A5C">
        <w:t xml:space="preserve">‘pulchritudinous’, </w:t>
      </w:r>
      <w:r w:rsidR="00422FB6" w:rsidRPr="002D3A5C">
        <w:t>‘pleasing’, ‘alluring’, ‘handsome’, ‘prepossessing’, etc., especially when describing physical appearance? Moreover</w:t>
      </w:r>
      <w:r w:rsidR="007339F1" w:rsidRPr="002D3A5C">
        <w:t>,</w:t>
      </w:r>
      <w:r w:rsidR="00422FB6" w:rsidRPr="002D3A5C">
        <w:t xml:space="preserve"> the same word sometimes has diametrically opposed meanings, for instance, ‘sanction’, which can mean ‘allow’ or ‘forbid’.</w:t>
      </w:r>
    </w:p>
  </w:footnote>
  <w:footnote w:id="58">
    <w:p w14:paraId="1A5AB922" w14:textId="36CDFBBA" w:rsidR="00672BF3" w:rsidRPr="002D3A5C" w:rsidRDefault="00672BF3" w:rsidP="002D3A5C">
      <w:pPr>
        <w:pStyle w:val="FootnoteText"/>
        <w:jc w:val="both"/>
      </w:pPr>
      <w:r w:rsidRPr="002D3A5C">
        <w:rPr>
          <w:rStyle w:val="FootnoteReference"/>
        </w:rPr>
        <w:footnoteRef/>
      </w:r>
      <w:r w:rsidRPr="002D3A5C">
        <w:t xml:space="preserve"> Above n </w:t>
      </w:r>
      <w:r w:rsidR="00A80D71" w:rsidRPr="002D3A5C">
        <w:t>5</w:t>
      </w:r>
      <w:r w:rsidR="00F528B6" w:rsidRPr="002D3A5C">
        <w:t>3</w:t>
      </w:r>
      <w:r w:rsidRPr="002D3A5C">
        <w:t>, 192.</w:t>
      </w:r>
    </w:p>
  </w:footnote>
  <w:footnote w:id="59">
    <w:p w14:paraId="565F1BC1" w14:textId="77777777" w:rsidR="00894BDF" w:rsidRPr="002D3A5C" w:rsidRDefault="00894BDF" w:rsidP="002D3A5C">
      <w:pPr>
        <w:pStyle w:val="FootnoteText"/>
        <w:jc w:val="both"/>
      </w:pPr>
      <w:r w:rsidRPr="002D3A5C">
        <w:rPr>
          <w:rStyle w:val="FootnoteReference"/>
        </w:rPr>
        <w:footnoteRef/>
      </w:r>
      <w:r w:rsidRPr="002D3A5C">
        <w:t xml:space="preserve"> ibid 193.</w:t>
      </w:r>
    </w:p>
  </w:footnote>
  <w:footnote w:id="60">
    <w:p w14:paraId="19B8AD62" w14:textId="77777777" w:rsidR="00894BDF" w:rsidRPr="002D3A5C" w:rsidRDefault="00894BDF" w:rsidP="002D3A5C">
      <w:pPr>
        <w:pStyle w:val="FootnoteText"/>
        <w:jc w:val="both"/>
      </w:pPr>
      <w:r w:rsidRPr="002D3A5C">
        <w:rPr>
          <w:rStyle w:val="FootnoteReference"/>
        </w:rPr>
        <w:footnoteRef/>
      </w:r>
      <w:r w:rsidRPr="002D3A5C">
        <w:t xml:space="preserve"> ibid.</w:t>
      </w:r>
    </w:p>
  </w:footnote>
  <w:footnote w:id="61">
    <w:p w14:paraId="5CE03C27" w14:textId="77777777" w:rsidR="00894BDF" w:rsidRPr="002D3A5C" w:rsidRDefault="00894BDF" w:rsidP="002D3A5C">
      <w:pPr>
        <w:pStyle w:val="FootnoteText"/>
        <w:jc w:val="both"/>
      </w:pPr>
      <w:r w:rsidRPr="002D3A5C">
        <w:rPr>
          <w:rStyle w:val="FootnoteReference"/>
        </w:rPr>
        <w:footnoteRef/>
      </w:r>
      <w:r w:rsidRPr="002D3A5C">
        <w:t xml:space="preserve"> ibid.</w:t>
      </w:r>
    </w:p>
  </w:footnote>
  <w:footnote w:id="62">
    <w:p w14:paraId="2D6139B9" w14:textId="5470B175" w:rsidR="005604E9" w:rsidRPr="002D3A5C" w:rsidRDefault="005604E9" w:rsidP="002D3A5C">
      <w:pPr>
        <w:pStyle w:val="FootnoteText"/>
        <w:jc w:val="both"/>
      </w:pPr>
      <w:r w:rsidRPr="002D3A5C">
        <w:rPr>
          <w:rStyle w:val="FootnoteReference"/>
        </w:rPr>
        <w:footnoteRef/>
      </w:r>
      <w:r w:rsidRPr="002D3A5C">
        <w:t xml:space="preserve"> </w:t>
      </w:r>
      <w:r w:rsidR="00B2337F" w:rsidRPr="002D3A5C">
        <w:t>ibid</w:t>
      </w:r>
      <w:r w:rsidRPr="002D3A5C">
        <w:t xml:space="preserve"> 193.</w:t>
      </w:r>
    </w:p>
  </w:footnote>
  <w:footnote w:id="63">
    <w:p w14:paraId="0D1ED9D4" w14:textId="6E3E504B" w:rsidR="00894BDF" w:rsidRPr="002D3A5C" w:rsidRDefault="00894BDF" w:rsidP="002D3A5C">
      <w:pPr>
        <w:pStyle w:val="FootnoteText"/>
        <w:jc w:val="both"/>
      </w:pPr>
      <w:r w:rsidRPr="002D3A5C">
        <w:rPr>
          <w:rStyle w:val="FootnoteReference"/>
        </w:rPr>
        <w:footnoteRef/>
      </w:r>
      <w:r w:rsidRPr="002D3A5C">
        <w:t xml:space="preserve"> </w:t>
      </w:r>
      <w:r w:rsidR="00B2337F" w:rsidRPr="002D3A5C">
        <w:t>ibid 194, 195.</w:t>
      </w:r>
    </w:p>
  </w:footnote>
  <w:footnote w:id="64">
    <w:p w14:paraId="11BF7681" w14:textId="6BB05BD5" w:rsidR="0092253C" w:rsidRPr="002D3A5C" w:rsidRDefault="0092253C" w:rsidP="002D3A5C">
      <w:pPr>
        <w:pStyle w:val="FootnoteText"/>
        <w:jc w:val="both"/>
      </w:pPr>
      <w:r w:rsidRPr="002D3A5C">
        <w:rPr>
          <w:rStyle w:val="FootnoteReference"/>
        </w:rPr>
        <w:footnoteRef/>
      </w:r>
      <w:r w:rsidRPr="002D3A5C">
        <w:t xml:space="preserve"> W Blackstone, </w:t>
      </w:r>
      <w:r w:rsidRPr="002D3A5C">
        <w:rPr>
          <w:i/>
          <w:iCs/>
        </w:rPr>
        <w:t>Commentaries on the Laws of England</w:t>
      </w:r>
      <w:r w:rsidRPr="002D3A5C">
        <w:t>, vols</w:t>
      </w:r>
      <w:r w:rsidR="00A17CC7" w:rsidRPr="002D3A5C">
        <w:t xml:space="preserve"> 1–4 (Oxford, Clarendon Press, 1765–70).</w:t>
      </w:r>
    </w:p>
  </w:footnote>
  <w:footnote w:id="65">
    <w:p w14:paraId="5C5B7D5C" w14:textId="7293BA36" w:rsidR="00FF12A1" w:rsidRPr="002D3A5C" w:rsidRDefault="00FF12A1" w:rsidP="002D3A5C">
      <w:pPr>
        <w:pStyle w:val="FootnoteText"/>
        <w:jc w:val="both"/>
      </w:pPr>
      <w:r w:rsidRPr="002D3A5C">
        <w:rPr>
          <w:rStyle w:val="FootnoteReference"/>
        </w:rPr>
        <w:footnoteRef/>
      </w:r>
      <w:r w:rsidRPr="002D3A5C">
        <w:t xml:space="preserve"> </w:t>
      </w:r>
      <w:r w:rsidR="002120E7" w:rsidRPr="002D3A5C">
        <w:t xml:space="preserve">WS </w:t>
      </w:r>
      <w:r w:rsidR="008A4069" w:rsidRPr="002D3A5C">
        <w:rPr>
          <w:color w:val="202122"/>
          <w:shd w:val="clear" w:color="auto" w:fill="FFFFFF"/>
        </w:rPr>
        <w:t>Holdsworth</w:t>
      </w:r>
      <w:r w:rsidR="00AE530B" w:rsidRPr="002D3A5C">
        <w:rPr>
          <w:color w:val="202122"/>
          <w:shd w:val="clear" w:color="auto" w:fill="FFFFFF"/>
        </w:rPr>
        <w:t>,</w:t>
      </w:r>
      <w:r w:rsidR="008A4069" w:rsidRPr="002D3A5C">
        <w:rPr>
          <w:color w:val="202122"/>
          <w:shd w:val="clear" w:color="auto" w:fill="FFFFFF"/>
        </w:rPr>
        <w:t xml:space="preserve"> </w:t>
      </w:r>
      <w:r w:rsidR="00AE530B" w:rsidRPr="002D3A5C">
        <w:rPr>
          <w:color w:val="202122"/>
          <w:shd w:val="clear" w:color="auto" w:fill="FFFFFF"/>
        </w:rPr>
        <w:t>‘</w:t>
      </w:r>
      <w:r w:rsidR="008A4069" w:rsidRPr="002D3A5C">
        <w:rPr>
          <w:color w:val="202122"/>
          <w:shd w:val="clear" w:color="auto" w:fill="FFFFFF"/>
        </w:rPr>
        <w:t>Sir William Blackstone</w:t>
      </w:r>
      <w:r w:rsidR="00AE530B" w:rsidRPr="002D3A5C">
        <w:rPr>
          <w:color w:val="202122"/>
          <w:shd w:val="clear" w:color="auto" w:fill="FFFFFF"/>
        </w:rPr>
        <w:t>’</w:t>
      </w:r>
      <w:r w:rsidR="002120E7" w:rsidRPr="002D3A5C">
        <w:rPr>
          <w:color w:val="202122"/>
          <w:shd w:val="clear" w:color="auto" w:fill="FFFFFF"/>
        </w:rPr>
        <w:t xml:space="preserve"> (1928) </w:t>
      </w:r>
      <w:r w:rsidR="00AE530B" w:rsidRPr="002D3A5C">
        <w:rPr>
          <w:color w:val="202122"/>
          <w:shd w:val="clear" w:color="auto" w:fill="FFFFFF"/>
        </w:rPr>
        <w:t xml:space="preserve">7(2) </w:t>
      </w:r>
      <w:r w:rsidR="008A4069" w:rsidRPr="002D3A5C">
        <w:rPr>
          <w:i/>
          <w:iCs/>
          <w:color w:val="202122"/>
          <w:shd w:val="clear" w:color="auto" w:fill="FFFFFF"/>
        </w:rPr>
        <w:t>Oregon Law Review</w:t>
      </w:r>
      <w:r w:rsidR="00AE530B" w:rsidRPr="002D3A5C">
        <w:rPr>
          <w:color w:val="202122"/>
          <w:shd w:val="clear" w:color="auto" w:fill="FFFFFF"/>
        </w:rPr>
        <w:t xml:space="preserve"> 155, 157.</w:t>
      </w:r>
    </w:p>
  </w:footnote>
  <w:footnote w:id="66">
    <w:p w14:paraId="205D2985" w14:textId="02B9B44A" w:rsidR="00264DAE" w:rsidRPr="002D3A5C" w:rsidRDefault="00264DAE" w:rsidP="002D3A5C">
      <w:pPr>
        <w:autoSpaceDE w:val="0"/>
        <w:autoSpaceDN w:val="0"/>
        <w:adjustRightInd w:val="0"/>
        <w:spacing w:after="0" w:line="240" w:lineRule="auto"/>
        <w:ind w:right="95"/>
        <w:jc w:val="both"/>
        <w:rPr>
          <w:sz w:val="20"/>
          <w:szCs w:val="20"/>
        </w:rPr>
      </w:pPr>
      <w:r w:rsidRPr="002D3A5C">
        <w:rPr>
          <w:rStyle w:val="FootnoteReference"/>
          <w:sz w:val="20"/>
          <w:szCs w:val="20"/>
        </w:rPr>
        <w:footnoteRef/>
      </w:r>
      <w:r w:rsidRPr="002D3A5C">
        <w:rPr>
          <w:sz w:val="20"/>
          <w:szCs w:val="20"/>
        </w:rPr>
        <w:t xml:space="preserve"> </w:t>
      </w:r>
      <w:r w:rsidR="00BF78B5" w:rsidRPr="002D3A5C">
        <w:rPr>
          <w:sz w:val="20"/>
          <w:szCs w:val="20"/>
        </w:rPr>
        <w:t xml:space="preserve">F </w:t>
      </w:r>
      <w:r w:rsidR="00BF78B5" w:rsidRPr="002D3A5C">
        <w:rPr>
          <w:color w:val="000000" w:themeColor="text1"/>
          <w:sz w:val="20"/>
          <w:szCs w:val="20"/>
        </w:rPr>
        <w:t xml:space="preserve">Pollock, ‘The Social Contact in English Political Philosophy’ (1908) 9(1) </w:t>
      </w:r>
      <w:r w:rsidR="00BF78B5" w:rsidRPr="002D3A5C">
        <w:rPr>
          <w:i/>
          <w:iCs/>
          <w:color w:val="000000" w:themeColor="text1"/>
          <w:sz w:val="20"/>
          <w:szCs w:val="20"/>
        </w:rPr>
        <w:t>Journal of the Society of Comparative Legislation</w:t>
      </w:r>
      <w:r w:rsidR="00BF78B5" w:rsidRPr="002D3A5C">
        <w:rPr>
          <w:color w:val="000000" w:themeColor="text1"/>
          <w:sz w:val="20"/>
          <w:szCs w:val="20"/>
        </w:rPr>
        <w:t xml:space="preserve">, </w:t>
      </w:r>
      <w:r w:rsidR="00BF78B5" w:rsidRPr="002D3A5C">
        <w:rPr>
          <w:i/>
          <w:iCs/>
          <w:color w:val="000000" w:themeColor="text1"/>
          <w:sz w:val="20"/>
          <w:szCs w:val="20"/>
        </w:rPr>
        <w:t>New Series</w:t>
      </w:r>
      <w:r w:rsidR="00BF78B5" w:rsidRPr="002D3A5C">
        <w:rPr>
          <w:color w:val="000000" w:themeColor="text1"/>
          <w:sz w:val="20"/>
          <w:szCs w:val="20"/>
        </w:rPr>
        <w:t xml:space="preserve"> 107, 108.</w:t>
      </w:r>
    </w:p>
  </w:footnote>
  <w:footnote w:id="67">
    <w:p w14:paraId="475FF108" w14:textId="1139B74A" w:rsidR="00B91CD4" w:rsidRPr="002D3A5C" w:rsidRDefault="00B91CD4" w:rsidP="002D3A5C">
      <w:pPr>
        <w:spacing w:after="0" w:line="240" w:lineRule="auto"/>
        <w:jc w:val="both"/>
        <w:rPr>
          <w:rFonts w:eastAsia="Times New Roman"/>
          <w:iCs/>
          <w:sz w:val="20"/>
          <w:szCs w:val="20"/>
          <w:lang w:eastAsia="en-GB"/>
        </w:rPr>
      </w:pPr>
      <w:r w:rsidRPr="002D3A5C">
        <w:rPr>
          <w:rStyle w:val="FootnoteReference"/>
          <w:sz w:val="20"/>
          <w:szCs w:val="20"/>
        </w:rPr>
        <w:footnoteRef/>
      </w:r>
      <w:r w:rsidRPr="002D3A5C">
        <w:rPr>
          <w:sz w:val="20"/>
          <w:szCs w:val="20"/>
        </w:rPr>
        <w:t xml:space="preserve"> H </w:t>
      </w:r>
      <w:r w:rsidRPr="002D3A5C">
        <w:rPr>
          <w:rFonts w:eastAsia="Times New Roman"/>
          <w:iCs/>
          <w:sz w:val="20"/>
          <w:szCs w:val="20"/>
          <w:lang w:eastAsia="en-GB"/>
        </w:rPr>
        <w:t xml:space="preserve">Gribnau and J Frecknall-Hughes, ‘The Influence of Social Contract Theory on Taxation’, in </w:t>
      </w:r>
      <w:r w:rsidRPr="002D3A5C">
        <w:rPr>
          <w:rFonts w:eastAsia="Times New Roman"/>
          <w:sz w:val="20"/>
          <w:szCs w:val="20"/>
          <w:lang w:eastAsia="en-GB"/>
        </w:rPr>
        <w:t>R van Brederode (ed</w:t>
      </w:r>
      <w:r w:rsidR="001F6DFE" w:rsidRPr="002D3A5C">
        <w:rPr>
          <w:rFonts w:eastAsia="Times New Roman"/>
          <w:sz w:val="20"/>
          <w:szCs w:val="20"/>
          <w:lang w:eastAsia="en-GB"/>
        </w:rPr>
        <w:t>)</w:t>
      </w:r>
      <w:r w:rsidRPr="002D3A5C">
        <w:rPr>
          <w:rFonts w:eastAsia="Times New Roman"/>
          <w:sz w:val="20"/>
          <w:szCs w:val="20"/>
          <w:lang w:eastAsia="en-GB"/>
        </w:rPr>
        <w:t xml:space="preserve"> </w:t>
      </w:r>
      <w:r w:rsidRPr="002D3A5C">
        <w:rPr>
          <w:rFonts w:eastAsia="Times New Roman"/>
          <w:i/>
          <w:iCs/>
          <w:sz w:val="20"/>
          <w:szCs w:val="20"/>
          <w:lang w:eastAsia="en-GB"/>
        </w:rPr>
        <w:t>The Political Philosophy of Taxation: A History from the Enlightenment to the Present</w:t>
      </w:r>
      <w:r w:rsidRPr="002D3A5C">
        <w:rPr>
          <w:rFonts w:eastAsia="Times New Roman"/>
          <w:sz w:val="20"/>
          <w:szCs w:val="20"/>
          <w:lang w:eastAsia="en-GB"/>
        </w:rPr>
        <w:t xml:space="preserve"> </w:t>
      </w:r>
      <w:r w:rsidR="001F6DFE" w:rsidRPr="002D3A5C">
        <w:rPr>
          <w:rFonts w:eastAsia="Times New Roman"/>
          <w:sz w:val="20"/>
          <w:szCs w:val="20"/>
          <w:lang w:eastAsia="en-GB"/>
        </w:rPr>
        <w:t>(</w:t>
      </w:r>
      <w:r w:rsidRPr="002D3A5C">
        <w:rPr>
          <w:rFonts w:eastAsia="Times New Roman"/>
          <w:sz w:val="20"/>
          <w:szCs w:val="20"/>
          <w:lang w:eastAsia="en-GB"/>
        </w:rPr>
        <w:t>London</w:t>
      </w:r>
      <w:r w:rsidR="001F6DFE" w:rsidRPr="002D3A5C">
        <w:rPr>
          <w:rFonts w:eastAsia="Times New Roman"/>
          <w:sz w:val="20"/>
          <w:szCs w:val="20"/>
          <w:lang w:eastAsia="en-GB"/>
        </w:rPr>
        <w:t>,</w:t>
      </w:r>
      <w:r w:rsidRPr="002D3A5C">
        <w:rPr>
          <w:rFonts w:eastAsia="Times New Roman"/>
          <w:sz w:val="20"/>
          <w:szCs w:val="20"/>
          <w:lang w:eastAsia="en-GB"/>
        </w:rPr>
        <w:t xml:space="preserve"> Springer, </w:t>
      </w:r>
      <w:r w:rsidR="001F6DFE" w:rsidRPr="002D3A5C">
        <w:rPr>
          <w:rFonts w:eastAsia="Times New Roman"/>
          <w:sz w:val="20"/>
          <w:szCs w:val="20"/>
          <w:lang w:eastAsia="en-GB"/>
        </w:rPr>
        <w:t>2022)</w:t>
      </w:r>
      <w:r w:rsidR="008D725D" w:rsidRPr="002D3A5C">
        <w:rPr>
          <w:rFonts w:eastAsia="Times New Roman"/>
          <w:sz w:val="20"/>
          <w:szCs w:val="20"/>
          <w:lang w:eastAsia="en-GB"/>
        </w:rPr>
        <w:t xml:space="preserve"> 51</w:t>
      </w:r>
      <w:r w:rsidRPr="002D3A5C">
        <w:rPr>
          <w:rFonts w:eastAsia="Times New Roman"/>
          <w:sz w:val="20"/>
          <w:szCs w:val="20"/>
          <w:lang w:eastAsia="en-GB"/>
        </w:rPr>
        <w:t>.</w:t>
      </w:r>
    </w:p>
  </w:footnote>
  <w:footnote w:id="68">
    <w:p w14:paraId="304F6665" w14:textId="74B8949E" w:rsidR="00292683" w:rsidRPr="002D3A5C" w:rsidRDefault="00292683" w:rsidP="002D3A5C">
      <w:pPr>
        <w:spacing w:after="0" w:line="240" w:lineRule="auto"/>
        <w:ind w:right="26"/>
        <w:jc w:val="both"/>
        <w:rPr>
          <w:rFonts w:eastAsia="Times New Roman"/>
          <w:sz w:val="20"/>
          <w:szCs w:val="20"/>
          <w:lang w:eastAsia="en-GB"/>
        </w:rPr>
      </w:pPr>
      <w:r w:rsidRPr="002D3A5C">
        <w:rPr>
          <w:rStyle w:val="FootnoteReference"/>
          <w:sz w:val="20"/>
          <w:szCs w:val="20"/>
        </w:rPr>
        <w:footnoteRef/>
      </w:r>
      <w:r w:rsidRPr="002D3A5C">
        <w:rPr>
          <w:sz w:val="20"/>
          <w:szCs w:val="20"/>
        </w:rPr>
        <w:t xml:space="preserve"> </w:t>
      </w:r>
      <w:r w:rsidR="008C7EFE" w:rsidRPr="002D3A5C">
        <w:rPr>
          <w:rFonts w:eastAsia="Times New Roman"/>
          <w:sz w:val="20"/>
          <w:szCs w:val="20"/>
          <w:lang w:eastAsia="en-GB"/>
        </w:rPr>
        <w:t xml:space="preserve">J Snape and J Frecknall-Hughes, ‘John Locke: Property, Tax and the Private Sphere’, in PA Harris, and D de Cogan (eds) </w:t>
      </w:r>
      <w:r w:rsidR="008C7EFE" w:rsidRPr="002D3A5C">
        <w:rPr>
          <w:rFonts w:eastAsia="Times New Roman"/>
          <w:i/>
          <w:sz w:val="20"/>
          <w:szCs w:val="20"/>
          <w:lang w:eastAsia="en-GB"/>
        </w:rPr>
        <w:t>Studies in the History of Tax Law VIII</w:t>
      </w:r>
      <w:r w:rsidR="008C7EFE" w:rsidRPr="002D3A5C">
        <w:rPr>
          <w:rFonts w:eastAsia="Times New Roman"/>
          <w:sz w:val="20"/>
          <w:szCs w:val="20"/>
          <w:lang w:eastAsia="en-GB"/>
        </w:rPr>
        <w:t xml:space="preserve"> (Oxford and Portland, Oregon, Hart Publishing, 2017) 1, 7.</w:t>
      </w:r>
    </w:p>
  </w:footnote>
  <w:footnote w:id="69">
    <w:p w14:paraId="2E37320B" w14:textId="6AB31EFC" w:rsidR="008C7EFE" w:rsidRPr="002D3A5C" w:rsidRDefault="008C7EFE" w:rsidP="002D3A5C">
      <w:pPr>
        <w:autoSpaceDE w:val="0"/>
        <w:autoSpaceDN w:val="0"/>
        <w:adjustRightInd w:val="0"/>
        <w:spacing w:after="0" w:line="240" w:lineRule="auto"/>
        <w:jc w:val="both"/>
        <w:rPr>
          <w:sz w:val="20"/>
          <w:szCs w:val="20"/>
        </w:rPr>
      </w:pPr>
      <w:r w:rsidRPr="002D3A5C">
        <w:rPr>
          <w:rStyle w:val="FootnoteReference"/>
          <w:sz w:val="20"/>
          <w:szCs w:val="20"/>
        </w:rPr>
        <w:footnoteRef/>
      </w:r>
      <w:r w:rsidRPr="002D3A5C">
        <w:rPr>
          <w:sz w:val="20"/>
          <w:szCs w:val="20"/>
        </w:rPr>
        <w:t xml:space="preserve"> J Locke, </w:t>
      </w:r>
      <w:r w:rsidRPr="002D3A5C">
        <w:rPr>
          <w:i/>
          <w:iCs/>
          <w:sz w:val="20"/>
          <w:szCs w:val="20"/>
        </w:rPr>
        <w:t>An Essay Concerning Human Understanding, Epistle to the Reader</w:t>
      </w:r>
      <w:r w:rsidRPr="002D3A5C">
        <w:rPr>
          <w:sz w:val="20"/>
          <w:szCs w:val="20"/>
        </w:rPr>
        <w:t xml:space="preserve"> [1689, dated 1690] (P </w:t>
      </w:r>
      <w:proofErr w:type="spellStart"/>
      <w:r w:rsidRPr="002D3A5C">
        <w:rPr>
          <w:sz w:val="20"/>
          <w:szCs w:val="20"/>
        </w:rPr>
        <w:t>Nidditch</w:t>
      </w:r>
      <w:proofErr w:type="spellEnd"/>
      <w:r w:rsidRPr="002D3A5C">
        <w:rPr>
          <w:sz w:val="20"/>
          <w:szCs w:val="20"/>
        </w:rPr>
        <w:t xml:space="preserve"> (ed) (Oxford, OUP</w:t>
      </w:r>
      <w:r w:rsidR="004D6759" w:rsidRPr="002D3A5C">
        <w:rPr>
          <w:sz w:val="20"/>
          <w:szCs w:val="20"/>
        </w:rPr>
        <w:t>,</w:t>
      </w:r>
      <w:r w:rsidRPr="002D3A5C">
        <w:rPr>
          <w:sz w:val="20"/>
          <w:szCs w:val="20"/>
        </w:rPr>
        <w:t xml:space="preserve"> 1975) 9–10.</w:t>
      </w:r>
    </w:p>
  </w:footnote>
  <w:footnote w:id="70">
    <w:p w14:paraId="2996332C" w14:textId="4823154D" w:rsidR="004D6759" w:rsidRPr="002D3A5C" w:rsidRDefault="004D6759" w:rsidP="002D3A5C">
      <w:pPr>
        <w:autoSpaceDE w:val="0"/>
        <w:autoSpaceDN w:val="0"/>
        <w:adjustRightInd w:val="0"/>
        <w:spacing w:after="0" w:line="240" w:lineRule="auto"/>
        <w:jc w:val="both"/>
        <w:rPr>
          <w:sz w:val="20"/>
          <w:szCs w:val="20"/>
        </w:rPr>
      </w:pPr>
      <w:r w:rsidRPr="002D3A5C">
        <w:rPr>
          <w:rStyle w:val="FootnoteReference"/>
          <w:sz w:val="20"/>
          <w:szCs w:val="20"/>
        </w:rPr>
        <w:footnoteRef/>
      </w:r>
      <w:r w:rsidRPr="002D3A5C">
        <w:rPr>
          <w:sz w:val="20"/>
          <w:szCs w:val="20"/>
        </w:rPr>
        <w:t xml:space="preserve"> J Locke, ‘Second Treatise of Government’ in P </w:t>
      </w:r>
      <w:proofErr w:type="spellStart"/>
      <w:r w:rsidRPr="002D3A5C">
        <w:rPr>
          <w:sz w:val="20"/>
          <w:szCs w:val="20"/>
        </w:rPr>
        <w:t>Laslett</w:t>
      </w:r>
      <w:proofErr w:type="spellEnd"/>
      <w:r w:rsidRPr="002D3A5C">
        <w:rPr>
          <w:sz w:val="20"/>
          <w:szCs w:val="20"/>
        </w:rPr>
        <w:t xml:space="preserve"> (ed), </w:t>
      </w:r>
      <w:r w:rsidRPr="002D3A5C">
        <w:rPr>
          <w:i/>
          <w:iCs/>
          <w:sz w:val="20"/>
          <w:szCs w:val="20"/>
        </w:rPr>
        <w:t>Two Treatises of Government</w:t>
      </w:r>
      <w:r w:rsidRPr="002D3A5C">
        <w:rPr>
          <w:sz w:val="20"/>
          <w:szCs w:val="20"/>
        </w:rPr>
        <w:t xml:space="preserve"> [1690] (Cambridge, CUP, 1988) 1.</w:t>
      </w:r>
    </w:p>
  </w:footnote>
  <w:footnote w:id="71">
    <w:p w14:paraId="6D2F928B" w14:textId="173EED82" w:rsidR="002B1968" w:rsidRPr="002D3A5C" w:rsidRDefault="002B1968" w:rsidP="002D3A5C">
      <w:pPr>
        <w:pStyle w:val="FootnoteText"/>
        <w:jc w:val="both"/>
      </w:pPr>
      <w:r w:rsidRPr="002D3A5C">
        <w:rPr>
          <w:rStyle w:val="FootnoteReference"/>
        </w:rPr>
        <w:footnoteRef/>
      </w:r>
      <w:r w:rsidRPr="002D3A5C">
        <w:t xml:space="preserve"> The term is derived from the Roman use of a wax tablet (tabula), made of </w:t>
      </w:r>
      <w:proofErr w:type="gramStart"/>
      <w:r w:rsidRPr="002D3A5C">
        <w:t>wood</w:t>
      </w:r>
      <w:proofErr w:type="gramEnd"/>
      <w:r w:rsidRPr="002D3A5C">
        <w:t xml:space="preserve"> and covered with a wax layer for writing on. It could be scraped clean of what had been previously written and smoothed for reuse. See Gribnau and Frecknall-Hughes, above n 6</w:t>
      </w:r>
      <w:r w:rsidR="00F528B6" w:rsidRPr="002D3A5C">
        <w:t>7</w:t>
      </w:r>
      <w:r w:rsidRPr="002D3A5C">
        <w:t xml:space="preserve">, </w:t>
      </w:r>
      <w:r w:rsidR="000F009F" w:rsidRPr="002D3A5C">
        <w:t>59</w:t>
      </w:r>
      <w:r w:rsidRPr="002D3A5C">
        <w:t>.</w:t>
      </w:r>
    </w:p>
  </w:footnote>
  <w:footnote w:id="72">
    <w:p w14:paraId="5A2C3B7E" w14:textId="4A758993" w:rsidR="00F528B6" w:rsidRPr="002D3A5C" w:rsidRDefault="00F528B6" w:rsidP="002D3A5C">
      <w:pPr>
        <w:pStyle w:val="FootnoteText"/>
        <w:jc w:val="both"/>
      </w:pPr>
      <w:r w:rsidRPr="002D3A5C">
        <w:rPr>
          <w:rStyle w:val="FootnoteReference"/>
        </w:rPr>
        <w:footnoteRef/>
      </w:r>
      <w:r w:rsidRPr="002D3A5C">
        <w:t xml:space="preserve"> Above n 70, Chapter 11.140.</w:t>
      </w:r>
    </w:p>
  </w:footnote>
  <w:footnote w:id="73">
    <w:p w14:paraId="5A54615D" w14:textId="45D9ACE1" w:rsidR="000F009F" w:rsidRPr="002D3A5C" w:rsidRDefault="000F009F" w:rsidP="002D3A5C">
      <w:pPr>
        <w:pStyle w:val="FootnoteText"/>
        <w:jc w:val="both"/>
      </w:pPr>
      <w:r w:rsidRPr="002D3A5C">
        <w:rPr>
          <w:rStyle w:val="FootnoteReference"/>
        </w:rPr>
        <w:footnoteRef/>
      </w:r>
      <w:r w:rsidRPr="002D3A5C">
        <w:t xml:space="preserve"> See Gribnau and Frecknall-Hughes, above n 6</w:t>
      </w:r>
      <w:r w:rsidR="00F528B6" w:rsidRPr="002D3A5C">
        <w:t>7</w:t>
      </w:r>
      <w:r w:rsidRPr="002D3A5C">
        <w:t>, 60</w:t>
      </w:r>
      <w:r w:rsidR="00BC3BEE" w:rsidRPr="002D3A5C">
        <w:t>, and Snape and Frecknall-Hughes, above n 6</w:t>
      </w:r>
      <w:r w:rsidR="00F528B6" w:rsidRPr="002D3A5C">
        <w:t>8</w:t>
      </w:r>
      <w:r w:rsidR="00BC3BEE" w:rsidRPr="002D3A5C">
        <w:t>.</w:t>
      </w:r>
    </w:p>
  </w:footnote>
  <w:footnote w:id="74">
    <w:p w14:paraId="303C9680" w14:textId="7B811A60" w:rsidR="00846FB5" w:rsidRPr="002D3A5C" w:rsidRDefault="00846FB5" w:rsidP="002D3A5C">
      <w:pPr>
        <w:pStyle w:val="FootnoteText"/>
        <w:jc w:val="both"/>
      </w:pPr>
      <w:r w:rsidRPr="002D3A5C">
        <w:rPr>
          <w:rStyle w:val="FootnoteReference"/>
        </w:rPr>
        <w:footnoteRef/>
      </w:r>
      <w:r w:rsidRPr="002D3A5C">
        <w:t xml:space="preserve"> RA Epstein, ‘Taxation in a Lockean World’ (1986) 4(1) </w:t>
      </w:r>
      <w:r w:rsidRPr="002D3A5C">
        <w:rPr>
          <w:i/>
          <w:iCs/>
        </w:rPr>
        <w:t xml:space="preserve">Social Philosophy and Policy </w:t>
      </w:r>
      <w:r w:rsidRPr="002D3A5C">
        <w:t>49.</w:t>
      </w:r>
    </w:p>
  </w:footnote>
  <w:footnote w:id="75">
    <w:p w14:paraId="72BF7D1A" w14:textId="67B494C4" w:rsidR="00B50D26" w:rsidRPr="002D3A5C" w:rsidRDefault="00B50D26" w:rsidP="002D3A5C">
      <w:pPr>
        <w:pStyle w:val="FootnoteText"/>
        <w:jc w:val="both"/>
      </w:pPr>
      <w:r w:rsidRPr="002D3A5C">
        <w:rPr>
          <w:rStyle w:val="FootnoteReference"/>
        </w:rPr>
        <w:footnoteRef/>
      </w:r>
      <w:r w:rsidRPr="002D3A5C">
        <w:t xml:space="preserve"> Above n 70, Chapter 11.138.</w:t>
      </w:r>
    </w:p>
  </w:footnote>
  <w:footnote w:id="76">
    <w:p w14:paraId="6B5FDD6B" w14:textId="496A45BB" w:rsidR="00B50D26" w:rsidRPr="002D3A5C" w:rsidRDefault="00B50D26" w:rsidP="002D3A5C">
      <w:pPr>
        <w:pStyle w:val="FootnoteText"/>
        <w:jc w:val="both"/>
      </w:pPr>
      <w:r w:rsidRPr="002D3A5C">
        <w:rPr>
          <w:rStyle w:val="FootnoteReference"/>
        </w:rPr>
        <w:footnoteRef/>
      </w:r>
      <w:r w:rsidRPr="002D3A5C">
        <w:t xml:space="preserve"> ibid, Chapter 19.222.</w:t>
      </w:r>
    </w:p>
  </w:footnote>
  <w:footnote w:id="77">
    <w:p w14:paraId="09F4083C" w14:textId="11F98EE6" w:rsidR="0074456F" w:rsidRPr="002D3A5C" w:rsidRDefault="0074456F" w:rsidP="002D3A5C">
      <w:pPr>
        <w:spacing w:after="0" w:line="240" w:lineRule="auto"/>
        <w:ind w:right="-46"/>
        <w:jc w:val="both"/>
        <w:rPr>
          <w:sz w:val="20"/>
          <w:szCs w:val="20"/>
        </w:rPr>
      </w:pPr>
      <w:r w:rsidRPr="002D3A5C">
        <w:rPr>
          <w:rStyle w:val="FootnoteReference"/>
          <w:sz w:val="20"/>
          <w:szCs w:val="20"/>
        </w:rPr>
        <w:footnoteRef/>
      </w:r>
      <w:r w:rsidRPr="002D3A5C">
        <w:rPr>
          <w:sz w:val="20"/>
          <w:szCs w:val="20"/>
        </w:rPr>
        <w:t xml:space="preserve"> </w:t>
      </w:r>
      <w:r w:rsidRPr="002D3A5C">
        <w:rPr>
          <w:rFonts w:eastAsia="Times New Roman"/>
          <w:sz w:val="20"/>
          <w:szCs w:val="20"/>
          <w:lang w:val="en-US" w:eastAsia="nl-NL"/>
        </w:rPr>
        <w:t xml:space="preserve">Montesquieu, </w:t>
      </w:r>
      <w:r w:rsidRPr="002D3A5C">
        <w:rPr>
          <w:rFonts w:eastAsia="Times New Roman"/>
          <w:i/>
          <w:iCs/>
          <w:sz w:val="20"/>
          <w:szCs w:val="20"/>
          <w:lang w:val="en-US" w:eastAsia="nl-NL"/>
        </w:rPr>
        <w:t>The Spirit of the Laws</w:t>
      </w:r>
      <w:r w:rsidR="00825692" w:rsidRPr="002D3A5C">
        <w:rPr>
          <w:rFonts w:eastAsia="Times New Roman"/>
          <w:i/>
          <w:iCs/>
          <w:sz w:val="20"/>
          <w:szCs w:val="20"/>
          <w:lang w:val="en-US" w:eastAsia="nl-NL"/>
        </w:rPr>
        <w:t xml:space="preserve"> </w:t>
      </w:r>
      <w:r w:rsidR="00825692" w:rsidRPr="002D3A5C">
        <w:rPr>
          <w:rFonts w:eastAsia="Times New Roman"/>
          <w:sz w:val="20"/>
          <w:szCs w:val="20"/>
          <w:lang w:val="en-US" w:eastAsia="nl-NL"/>
        </w:rPr>
        <w:t>[1748],</w:t>
      </w:r>
      <w:r w:rsidRPr="002D3A5C">
        <w:rPr>
          <w:rFonts w:eastAsia="Times New Roman"/>
          <w:sz w:val="20"/>
          <w:szCs w:val="20"/>
          <w:lang w:val="en-US" w:eastAsia="nl-NL"/>
        </w:rPr>
        <w:t xml:space="preserve"> </w:t>
      </w:r>
      <w:proofErr w:type="spellStart"/>
      <w:r w:rsidRPr="002D3A5C">
        <w:rPr>
          <w:rFonts w:eastAsia="Times New Roman"/>
          <w:sz w:val="20"/>
          <w:szCs w:val="20"/>
          <w:lang w:val="en-US" w:eastAsia="nl-NL"/>
        </w:rPr>
        <w:t>transl</w:t>
      </w:r>
      <w:proofErr w:type="spellEnd"/>
      <w:r w:rsidRPr="002D3A5C">
        <w:rPr>
          <w:rFonts w:eastAsia="Times New Roman"/>
          <w:sz w:val="20"/>
          <w:szCs w:val="20"/>
          <w:lang w:val="en-US" w:eastAsia="nl-NL"/>
        </w:rPr>
        <w:t xml:space="preserve"> and eds AM </w:t>
      </w:r>
      <w:proofErr w:type="spellStart"/>
      <w:r w:rsidRPr="002D3A5C">
        <w:rPr>
          <w:rFonts w:eastAsia="Times New Roman"/>
          <w:sz w:val="20"/>
          <w:szCs w:val="20"/>
          <w:lang w:val="en-US" w:eastAsia="nl-NL"/>
        </w:rPr>
        <w:t>Cohler</w:t>
      </w:r>
      <w:proofErr w:type="spellEnd"/>
      <w:r w:rsidRPr="002D3A5C">
        <w:rPr>
          <w:rFonts w:eastAsia="Times New Roman"/>
          <w:sz w:val="20"/>
          <w:szCs w:val="20"/>
          <w:lang w:val="en-US" w:eastAsia="nl-NL"/>
        </w:rPr>
        <w:t xml:space="preserve">, BC </w:t>
      </w:r>
      <w:proofErr w:type="gramStart"/>
      <w:r w:rsidRPr="002D3A5C">
        <w:rPr>
          <w:rFonts w:eastAsia="Times New Roman"/>
          <w:sz w:val="20"/>
          <w:szCs w:val="20"/>
          <w:lang w:val="en-US" w:eastAsia="nl-NL"/>
        </w:rPr>
        <w:t>Miller</w:t>
      </w:r>
      <w:proofErr w:type="gramEnd"/>
      <w:r w:rsidRPr="002D3A5C">
        <w:rPr>
          <w:rFonts w:eastAsia="Times New Roman"/>
          <w:sz w:val="20"/>
          <w:szCs w:val="20"/>
          <w:lang w:val="en-US" w:eastAsia="nl-NL"/>
        </w:rPr>
        <w:t xml:space="preserve"> and HF Stone (Cambridge, CUP, 1989) XI, 6, 157–8.</w:t>
      </w:r>
    </w:p>
  </w:footnote>
  <w:footnote w:id="78">
    <w:p w14:paraId="650D4B5C" w14:textId="12D95662" w:rsidR="00505564" w:rsidRPr="002D3A5C" w:rsidRDefault="00505564" w:rsidP="002D3A5C">
      <w:pPr>
        <w:pStyle w:val="FootnoteText"/>
        <w:jc w:val="both"/>
      </w:pPr>
      <w:r w:rsidRPr="002D3A5C">
        <w:rPr>
          <w:rStyle w:val="FootnoteReference"/>
        </w:rPr>
        <w:footnoteRef/>
      </w:r>
      <w:r w:rsidRPr="002D3A5C">
        <w:t xml:space="preserve"> ibid XIII, 1, 123.</w:t>
      </w:r>
    </w:p>
  </w:footnote>
  <w:footnote w:id="79">
    <w:p w14:paraId="67D47AE0" w14:textId="6FE11B2D" w:rsidR="00F52910" w:rsidRPr="002D3A5C" w:rsidRDefault="00F52910" w:rsidP="002D3A5C">
      <w:pPr>
        <w:pStyle w:val="FootnoteText"/>
        <w:jc w:val="both"/>
      </w:pPr>
      <w:r w:rsidRPr="002D3A5C">
        <w:rPr>
          <w:rStyle w:val="FootnoteReference"/>
        </w:rPr>
        <w:footnoteRef/>
      </w:r>
      <w:r w:rsidRPr="002D3A5C">
        <w:t xml:space="preserve"> JN </w:t>
      </w:r>
      <w:proofErr w:type="spellStart"/>
      <w:r w:rsidRPr="002D3A5C">
        <w:rPr>
          <w:rFonts w:eastAsia="Times New Roman"/>
          <w:lang w:val="en-US" w:eastAsia="nl-NL"/>
        </w:rPr>
        <w:t>Shklar</w:t>
      </w:r>
      <w:proofErr w:type="spellEnd"/>
      <w:r w:rsidRPr="002D3A5C">
        <w:rPr>
          <w:rFonts w:eastAsia="Times New Roman"/>
          <w:lang w:val="en-US" w:eastAsia="nl-NL"/>
        </w:rPr>
        <w:t xml:space="preserve">, </w:t>
      </w:r>
      <w:r w:rsidRPr="002D3A5C">
        <w:rPr>
          <w:rFonts w:eastAsia="Times New Roman"/>
          <w:i/>
          <w:iCs/>
          <w:lang w:val="en-US" w:eastAsia="nl-NL"/>
        </w:rPr>
        <w:t>Montesquieu</w:t>
      </w:r>
      <w:r w:rsidRPr="002D3A5C">
        <w:rPr>
          <w:rFonts w:eastAsia="Times New Roman"/>
          <w:lang w:val="en-US" w:eastAsia="nl-NL"/>
        </w:rPr>
        <w:t xml:space="preserve"> (Oxford, OUP, 1987).</w:t>
      </w:r>
    </w:p>
  </w:footnote>
  <w:footnote w:id="80">
    <w:p w14:paraId="0AF60594" w14:textId="4ACA1B70" w:rsidR="00F52910" w:rsidRPr="002D3A5C" w:rsidRDefault="00F52910" w:rsidP="002D3A5C">
      <w:pPr>
        <w:pStyle w:val="FootnoteText"/>
        <w:jc w:val="both"/>
      </w:pPr>
      <w:r w:rsidRPr="002D3A5C">
        <w:rPr>
          <w:rStyle w:val="FootnoteReference"/>
        </w:rPr>
        <w:footnoteRef/>
      </w:r>
      <w:r w:rsidRPr="002D3A5C">
        <w:t xml:space="preserve"> Gribnau and Frecknall-Hughes, above n 6</w:t>
      </w:r>
      <w:r w:rsidR="00B50D26" w:rsidRPr="002D3A5C">
        <w:t>7</w:t>
      </w:r>
      <w:r w:rsidRPr="002D3A5C">
        <w:t>, 69.</w:t>
      </w:r>
    </w:p>
  </w:footnote>
  <w:footnote w:id="81">
    <w:p w14:paraId="54A9943D" w14:textId="468B8083" w:rsidR="00586AE0" w:rsidRPr="002D3A5C" w:rsidRDefault="00586AE0" w:rsidP="002D3A5C">
      <w:pPr>
        <w:pStyle w:val="FootnoteText"/>
        <w:jc w:val="both"/>
      </w:pPr>
      <w:r w:rsidRPr="002D3A5C">
        <w:rPr>
          <w:rStyle w:val="FootnoteReference"/>
        </w:rPr>
        <w:footnoteRef/>
      </w:r>
      <w:r w:rsidRPr="002D3A5C">
        <w:t xml:space="preserve"> ibid citing Montesquieu, above note 7</w:t>
      </w:r>
      <w:r w:rsidR="00B50D26" w:rsidRPr="002D3A5C">
        <w:t>7</w:t>
      </w:r>
      <w:r w:rsidRPr="002D3A5C">
        <w:t>, XIII, 12</w:t>
      </w:r>
      <w:r w:rsidR="001D27D2" w:rsidRPr="002D3A5C">
        <w:t>, 220–1.</w:t>
      </w:r>
    </w:p>
  </w:footnote>
  <w:footnote w:id="82">
    <w:p w14:paraId="04833AB9" w14:textId="70CDFFD9" w:rsidR="006C7924" w:rsidRPr="002D3A5C" w:rsidRDefault="006C7924" w:rsidP="002D3A5C">
      <w:pPr>
        <w:pStyle w:val="FootnoteText"/>
        <w:jc w:val="both"/>
      </w:pPr>
      <w:r w:rsidRPr="002D3A5C">
        <w:rPr>
          <w:rStyle w:val="FootnoteReference"/>
        </w:rPr>
        <w:footnoteRef/>
      </w:r>
      <w:r w:rsidRPr="002D3A5C">
        <w:t xml:space="preserve"> Montesquieu, above note 7</w:t>
      </w:r>
      <w:r w:rsidR="00B50D26" w:rsidRPr="002D3A5C">
        <w:t>7</w:t>
      </w:r>
      <w:r w:rsidRPr="002D3A5C">
        <w:t>, XIII, 7, 217.</w:t>
      </w:r>
    </w:p>
  </w:footnote>
  <w:footnote w:id="83">
    <w:p w14:paraId="7A31C683" w14:textId="73FBD21B" w:rsidR="00DD581C" w:rsidRPr="002D3A5C" w:rsidRDefault="00DD581C" w:rsidP="002D3A5C">
      <w:pPr>
        <w:pStyle w:val="FootnoteText"/>
        <w:jc w:val="both"/>
      </w:pPr>
      <w:r w:rsidRPr="002D3A5C">
        <w:rPr>
          <w:rStyle w:val="FootnoteReference"/>
        </w:rPr>
        <w:footnoteRef/>
      </w:r>
      <w:r w:rsidRPr="002D3A5C">
        <w:t xml:space="preserve"> ibid 218.</w:t>
      </w:r>
    </w:p>
  </w:footnote>
  <w:footnote w:id="84">
    <w:p w14:paraId="7D45515D" w14:textId="191C99B8" w:rsidR="0088303E" w:rsidRPr="002D3A5C" w:rsidRDefault="0088303E" w:rsidP="002D3A5C">
      <w:pPr>
        <w:spacing w:after="0" w:line="240" w:lineRule="auto"/>
        <w:ind w:right="-46"/>
        <w:jc w:val="both"/>
        <w:rPr>
          <w:rFonts w:eastAsia="Times New Roman"/>
          <w:color w:val="000000" w:themeColor="text1"/>
          <w:sz w:val="20"/>
          <w:szCs w:val="20"/>
          <w:lang w:eastAsia="en-GB"/>
        </w:rPr>
      </w:pPr>
      <w:r w:rsidRPr="002D3A5C">
        <w:rPr>
          <w:rStyle w:val="FootnoteReference"/>
          <w:sz w:val="20"/>
          <w:szCs w:val="20"/>
        </w:rPr>
        <w:footnoteRef/>
      </w:r>
      <w:r w:rsidRPr="002D3A5C">
        <w:rPr>
          <w:sz w:val="20"/>
          <w:szCs w:val="20"/>
        </w:rPr>
        <w:t xml:space="preserve"> J </w:t>
      </w:r>
      <w:r w:rsidRPr="002D3A5C">
        <w:rPr>
          <w:color w:val="000000" w:themeColor="text1"/>
          <w:sz w:val="20"/>
          <w:szCs w:val="20"/>
        </w:rPr>
        <w:t xml:space="preserve">Frecknall-Hughes, </w:t>
      </w:r>
      <w:r w:rsidR="00EC5378" w:rsidRPr="002D3A5C">
        <w:rPr>
          <w:color w:val="000000" w:themeColor="text1"/>
          <w:sz w:val="20"/>
          <w:szCs w:val="20"/>
        </w:rPr>
        <w:t>‘</w:t>
      </w:r>
      <w:r w:rsidRPr="002D3A5C">
        <w:rPr>
          <w:color w:val="000000" w:themeColor="text1"/>
          <w:sz w:val="20"/>
          <w:szCs w:val="20"/>
        </w:rPr>
        <w:t>Locke, Hume, Johnson and the Continuing Relevance of Tax History</w:t>
      </w:r>
      <w:r w:rsidR="00EC5378" w:rsidRPr="002D3A5C">
        <w:rPr>
          <w:color w:val="000000" w:themeColor="text1"/>
          <w:sz w:val="20"/>
          <w:szCs w:val="20"/>
        </w:rPr>
        <w:t>’ (2014) 12(1)</w:t>
      </w:r>
      <w:r w:rsidRPr="002D3A5C">
        <w:rPr>
          <w:color w:val="000000" w:themeColor="text1"/>
          <w:sz w:val="20"/>
          <w:szCs w:val="20"/>
        </w:rPr>
        <w:t xml:space="preserve"> </w:t>
      </w:r>
      <w:proofErr w:type="spellStart"/>
      <w:r w:rsidRPr="002D3A5C">
        <w:rPr>
          <w:i/>
          <w:iCs/>
          <w:color w:val="000000" w:themeColor="text1"/>
          <w:sz w:val="20"/>
          <w:szCs w:val="20"/>
        </w:rPr>
        <w:t>eJournal</w:t>
      </w:r>
      <w:proofErr w:type="spellEnd"/>
      <w:r w:rsidRPr="002D3A5C">
        <w:rPr>
          <w:i/>
          <w:iCs/>
          <w:color w:val="000000" w:themeColor="text1"/>
          <w:sz w:val="20"/>
          <w:szCs w:val="20"/>
        </w:rPr>
        <w:t xml:space="preserve"> of Tax Research</w:t>
      </w:r>
      <w:r w:rsidRPr="002D3A5C">
        <w:rPr>
          <w:color w:val="000000" w:themeColor="text1"/>
          <w:sz w:val="20"/>
          <w:szCs w:val="20"/>
        </w:rPr>
        <w:t xml:space="preserve"> </w:t>
      </w:r>
      <w:r w:rsidRPr="002D3A5C">
        <w:rPr>
          <w:rFonts w:eastAsia="Times New Roman"/>
          <w:color w:val="000000" w:themeColor="text1"/>
          <w:sz w:val="20"/>
          <w:szCs w:val="20"/>
          <w:lang w:eastAsia="en-GB"/>
        </w:rPr>
        <w:t>87</w:t>
      </w:r>
      <w:r w:rsidR="00EC5378" w:rsidRPr="002D3A5C">
        <w:rPr>
          <w:rFonts w:eastAsia="Times New Roman"/>
          <w:color w:val="000000" w:themeColor="text1"/>
          <w:sz w:val="20"/>
          <w:szCs w:val="20"/>
          <w:lang w:eastAsia="en-GB"/>
        </w:rPr>
        <w:t>, 93</w:t>
      </w:r>
      <w:r w:rsidRPr="002D3A5C">
        <w:rPr>
          <w:rFonts w:eastAsia="Times New Roman"/>
          <w:color w:val="000000" w:themeColor="text1"/>
          <w:sz w:val="20"/>
          <w:szCs w:val="20"/>
          <w:lang w:eastAsia="en-GB"/>
        </w:rPr>
        <w:t>.</w:t>
      </w:r>
    </w:p>
  </w:footnote>
  <w:footnote w:id="85">
    <w:p w14:paraId="644227E4" w14:textId="1C793954" w:rsidR="00EC5378" w:rsidRPr="002D3A5C" w:rsidRDefault="00EC5378" w:rsidP="002D3A5C">
      <w:pPr>
        <w:autoSpaceDE w:val="0"/>
        <w:autoSpaceDN w:val="0"/>
        <w:adjustRightInd w:val="0"/>
        <w:spacing w:after="0" w:line="240" w:lineRule="auto"/>
        <w:ind w:right="545"/>
        <w:jc w:val="both"/>
        <w:rPr>
          <w:color w:val="000000" w:themeColor="text1"/>
          <w:sz w:val="20"/>
          <w:szCs w:val="20"/>
        </w:rPr>
      </w:pPr>
      <w:r w:rsidRPr="002D3A5C">
        <w:rPr>
          <w:rStyle w:val="FootnoteReference"/>
          <w:sz w:val="20"/>
          <w:szCs w:val="20"/>
        </w:rPr>
        <w:footnoteRef/>
      </w:r>
      <w:r w:rsidRPr="002D3A5C">
        <w:rPr>
          <w:sz w:val="20"/>
          <w:szCs w:val="20"/>
        </w:rPr>
        <w:t xml:space="preserve"> D </w:t>
      </w:r>
      <w:r w:rsidRPr="002D3A5C">
        <w:rPr>
          <w:color w:val="000000" w:themeColor="text1"/>
          <w:sz w:val="20"/>
          <w:szCs w:val="20"/>
        </w:rPr>
        <w:t xml:space="preserve">Hume, </w:t>
      </w:r>
      <w:r w:rsidRPr="002D3A5C">
        <w:rPr>
          <w:i/>
          <w:iCs/>
          <w:color w:val="000000" w:themeColor="text1"/>
          <w:sz w:val="20"/>
          <w:szCs w:val="20"/>
        </w:rPr>
        <w:t>The History of England</w:t>
      </w:r>
      <w:r w:rsidR="00337FC2" w:rsidRPr="002D3A5C">
        <w:rPr>
          <w:color w:val="000000" w:themeColor="text1"/>
          <w:sz w:val="20"/>
          <w:szCs w:val="20"/>
        </w:rPr>
        <w:t xml:space="preserve"> [1754–61]</w:t>
      </w:r>
      <w:r w:rsidRPr="002D3A5C">
        <w:rPr>
          <w:color w:val="000000" w:themeColor="text1"/>
          <w:sz w:val="20"/>
          <w:szCs w:val="20"/>
        </w:rPr>
        <w:t xml:space="preserve"> </w:t>
      </w:r>
      <w:r w:rsidR="00337FC2" w:rsidRPr="002D3A5C">
        <w:rPr>
          <w:color w:val="000000" w:themeColor="text1"/>
          <w:sz w:val="20"/>
          <w:szCs w:val="20"/>
        </w:rPr>
        <w:t>(</w:t>
      </w:r>
      <w:r w:rsidRPr="002D3A5C">
        <w:rPr>
          <w:color w:val="000000" w:themeColor="text1"/>
          <w:sz w:val="20"/>
          <w:szCs w:val="20"/>
        </w:rPr>
        <w:t>USA</w:t>
      </w:r>
      <w:r w:rsidR="00337FC2" w:rsidRPr="002D3A5C">
        <w:rPr>
          <w:color w:val="000000" w:themeColor="text1"/>
          <w:sz w:val="20"/>
          <w:szCs w:val="20"/>
        </w:rPr>
        <w:t>,</w:t>
      </w:r>
      <w:r w:rsidRPr="002D3A5C">
        <w:rPr>
          <w:color w:val="000000" w:themeColor="text1"/>
          <w:sz w:val="20"/>
          <w:szCs w:val="20"/>
        </w:rPr>
        <w:t xml:space="preserve"> Liberty Fund, Incorporated</w:t>
      </w:r>
      <w:r w:rsidR="00337FC2" w:rsidRPr="002D3A5C">
        <w:rPr>
          <w:color w:val="000000" w:themeColor="text1"/>
          <w:sz w:val="20"/>
          <w:szCs w:val="20"/>
        </w:rPr>
        <w:t xml:space="preserve">, </w:t>
      </w:r>
      <w:r w:rsidRPr="002D3A5C">
        <w:rPr>
          <w:color w:val="000000" w:themeColor="text1"/>
          <w:sz w:val="20"/>
          <w:szCs w:val="20"/>
        </w:rPr>
        <w:t>1983).</w:t>
      </w:r>
    </w:p>
  </w:footnote>
  <w:footnote w:id="86">
    <w:p w14:paraId="2DC3B887" w14:textId="3FFF18E6" w:rsidR="003D75A1" w:rsidRPr="002D3A5C" w:rsidRDefault="003D75A1" w:rsidP="002D3A5C">
      <w:pPr>
        <w:autoSpaceDE w:val="0"/>
        <w:autoSpaceDN w:val="0"/>
        <w:adjustRightInd w:val="0"/>
        <w:spacing w:after="0" w:line="240" w:lineRule="auto"/>
        <w:ind w:right="545"/>
        <w:jc w:val="both"/>
      </w:pPr>
      <w:r w:rsidRPr="002D3A5C">
        <w:rPr>
          <w:rStyle w:val="FootnoteReference"/>
          <w:sz w:val="20"/>
          <w:szCs w:val="20"/>
        </w:rPr>
        <w:footnoteRef/>
      </w:r>
      <w:r w:rsidRPr="002D3A5C">
        <w:rPr>
          <w:sz w:val="20"/>
          <w:szCs w:val="20"/>
        </w:rPr>
        <w:t xml:space="preserve"> D </w:t>
      </w:r>
      <w:r w:rsidRPr="002D3A5C">
        <w:rPr>
          <w:color w:val="000000" w:themeColor="text1"/>
          <w:sz w:val="20"/>
          <w:szCs w:val="20"/>
        </w:rPr>
        <w:t xml:space="preserve">Hume, </w:t>
      </w:r>
      <w:r w:rsidRPr="002D3A5C">
        <w:rPr>
          <w:i/>
          <w:iCs/>
          <w:color w:val="000000" w:themeColor="text1"/>
          <w:sz w:val="20"/>
          <w:szCs w:val="20"/>
        </w:rPr>
        <w:t>Of the Original Contract</w:t>
      </w:r>
      <w:r w:rsidRPr="002D3A5C">
        <w:rPr>
          <w:color w:val="000000" w:themeColor="text1"/>
          <w:sz w:val="20"/>
          <w:szCs w:val="20"/>
        </w:rPr>
        <w:t xml:space="preserve"> [1748]</w:t>
      </w:r>
      <w:r w:rsidR="00E9319E" w:rsidRPr="002D3A5C">
        <w:rPr>
          <w:color w:val="000000" w:themeColor="text1"/>
          <w:sz w:val="20"/>
          <w:szCs w:val="20"/>
        </w:rPr>
        <w:t>,</w:t>
      </w:r>
      <w:r w:rsidRPr="002D3A5C">
        <w:rPr>
          <w:color w:val="000000" w:themeColor="text1"/>
          <w:sz w:val="20"/>
          <w:szCs w:val="20"/>
        </w:rPr>
        <w:t xml:space="preserve"> Essay 34, in </w:t>
      </w:r>
      <w:r w:rsidRPr="002D3A5C">
        <w:rPr>
          <w:i/>
          <w:iCs/>
          <w:color w:val="000000" w:themeColor="text1"/>
          <w:sz w:val="20"/>
          <w:szCs w:val="20"/>
        </w:rPr>
        <w:t>Essays, Literary, Moral, and Political</w:t>
      </w:r>
      <w:r w:rsidRPr="002D3A5C">
        <w:rPr>
          <w:color w:val="000000" w:themeColor="text1"/>
          <w:sz w:val="20"/>
          <w:szCs w:val="20"/>
        </w:rPr>
        <w:t>, 270–83 (London</w:t>
      </w:r>
      <w:r w:rsidR="00115F7C" w:rsidRPr="002D3A5C">
        <w:rPr>
          <w:color w:val="000000" w:themeColor="text1"/>
          <w:sz w:val="20"/>
          <w:szCs w:val="20"/>
        </w:rPr>
        <w:t>,</w:t>
      </w:r>
      <w:r w:rsidRPr="002D3A5C">
        <w:rPr>
          <w:color w:val="000000" w:themeColor="text1"/>
          <w:sz w:val="20"/>
          <w:szCs w:val="20"/>
        </w:rPr>
        <w:t xml:space="preserve"> Ward, Lock, &amp; Co.</w:t>
      </w:r>
      <w:r w:rsidR="00115F7C" w:rsidRPr="002D3A5C">
        <w:rPr>
          <w:color w:val="000000" w:themeColor="text1"/>
          <w:sz w:val="20"/>
          <w:szCs w:val="20"/>
        </w:rPr>
        <w:t>,</w:t>
      </w:r>
      <w:r w:rsidRPr="002D3A5C">
        <w:rPr>
          <w:color w:val="000000" w:themeColor="text1"/>
          <w:sz w:val="20"/>
          <w:szCs w:val="20"/>
        </w:rPr>
        <w:t xml:space="preserve"> 1875).</w:t>
      </w:r>
    </w:p>
  </w:footnote>
  <w:footnote w:id="87">
    <w:p w14:paraId="52FE027F" w14:textId="7DE81A80" w:rsidR="00E9319E" w:rsidRPr="002D3A5C" w:rsidRDefault="00E9319E" w:rsidP="002D3A5C">
      <w:pPr>
        <w:autoSpaceDE w:val="0"/>
        <w:autoSpaceDN w:val="0"/>
        <w:adjustRightInd w:val="0"/>
        <w:spacing w:after="0" w:line="240" w:lineRule="auto"/>
        <w:ind w:right="-46"/>
        <w:jc w:val="both"/>
        <w:rPr>
          <w:color w:val="000000" w:themeColor="text1"/>
          <w:sz w:val="20"/>
          <w:szCs w:val="20"/>
        </w:rPr>
      </w:pPr>
      <w:r w:rsidRPr="002D3A5C">
        <w:rPr>
          <w:rStyle w:val="FootnoteReference"/>
          <w:sz w:val="20"/>
          <w:szCs w:val="20"/>
        </w:rPr>
        <w:footnoteRef/>
      </w:r>
      <w:r w:rsidRPr="002D3A5C">
        <w:rPr>
          <w:sz w:val="20"/>
          <w:szCs w:val="20"/>
        </w:rPr>
        <w:t xml:space="preserve"> D </w:t>
      </w:r>
      <w:r w:rsidRPr="002D3A5C">
        <w:rPr>
          <w:color w:val="000000" w:themeColor="text1"/>
          <w:sz w:val="20"/>
          <w:szCs w:val="20"/>
        </w:rPr>
        <w:t xml:space="preserve">Hume, </w:t>
      </w:r>
      <w:r w:rsidRPr="002D3A5C">
        <w:rPr>
          <w:i/>
          <w:iCs/>
          <w:color w:val="000000" w:themeColor="text1"/>
          <w:sz w:val="20"/>
          <w:szCs w:val="20"/>
        </w:rPr>
        <w:t>Of the Origin of Government</w:t>
      </w:r>
      <w:r w:rsidRPr="002D3A5C">
        <w:rPr>
          <w:color w:val="000000" w:themeColor="text1"/>
          <w:sz w:val="20"/>
          <w:szCs w:val="20"/>
        </w:rPr>
        <w:t xml:space="preserve"> [1777], Essay 5, in </w:t>
      </w:r>
      <w:r w:rsidRPr="002D3A5C">
        <w:rPr>
          <w:i/>
          <w:iCs/>
          <w:color w:val="000000" w:themeColor="text1"/>
          <w:sz w:val="20"/>
          <w:szCs w:val="20"/>
        </w:rPr>
        <w:t>Essays, Literary, Moral, and Political</w:t>
      </w:r>
      <w:r w:rsidRPr="002D3A5C">
        <w:rPr>
          <w:color w:val="000000" w:themeColor="text1"/>
          <w:sz w:val="20"/>
          <w:szCs w:val="20"/>
        </w:rPr>
        <w:t>, 25–8 (London, Ward, Lock, &amp; Co., 1875).</w:t>
      </w:r>
    </w:p>
  </w:footnote>
  <w:footnote w:id="88">
    <w:p w14:paraId="4B245262" w14:textId="29DD1501" w:rsidR="00C73384" w:rsidRPr="002D3A5C" w:rsidRDefault="00C73384" w:rsidP="002D3A5C">
      <w:pPr>
        <w:pStyle w:val="FootnoteText"/>
        <w:jc w:val="both"/>
      </w:pPr>
      <w:r w:rsidRPr="002D3A5C">
        <w:rPr>
          <w:rStyle w:val="FootnoteReference"/>
        </w:rPr>
        <w:footnoteRef/>
      </w:r>
      <w:r w:rsidRPr="002D3A5C">
        <w:t xml:space="preserve"> Hume, above note 8</w:t>
      </w:r>
      <w:r w:rsidR="00851EB3" w:rsidRPr="002D3A5C">
        <w:t>6</w:t>
      </w:r>
      <w:r w:rsidRPr="002D3A5C">
        <w:t>, 275–6.</w:t>
      </w:r>
    </w:p>
  </w:footnote>
  <w:footnote w:id="89">
    <w:p w14:paraId="3EB44707" w14:textId="2D791C13" w:rsidR="00C73384" w:rsidRPr="002D3A5C" w:rsidRDefault="00C73384" w:rsidP="002D3A5C">
      <w:pPr>
        <w:pStyle w:val="FootnoteText"/>
        <w:jc w:val="both"/>
      </w:pPr>
      <w:r w:rsidRPr="002D3A5C">
        <w:rPr>
          <w:rStyle w:val="FootnoteReference"/>
        </w:rPr>
        <w:footnoteRef/>
      </w:r>
      <w:r w:rsidRPr="002D3A5C">
        <w:t xml:space="preserve"> D </w:t>
      </w:r>
      <w:r w:rsidRPr="002D3A5C">
        <w:rPr>
          <w:color w:val="000000" w:themeColor="text1"/>
        </w:rPr>
        <w:t xml:space="preserve">Hume, </w:t>
      </w:r>
      <w:r w:rsidRPr="002D3A5C">
        <w:rPr>
          <w:i/>
          <w:iCs/>
          <w:color w:val="000000" w:themeColor="text1"/>
        </w:rPr>
        <w:t>Of Taxes</w:t>
      </w:r>
      <w:r w:rsidRPr="002D3A5C">
        <w:rPr>
          <w:color w:val="000000" w:themeColor="text1"/>
        </w:rPr>
        <w:t xml:space="preserve"> [1752], Essay 30, in </w:t>
      </w:r>
      <w:r w:rsidRPr="002D3A5C">
        <w:rPr>
          <w:i/>
          <w:iCs/>
          <w:color w:val="000000" w:themeColor="text1"/>
        </w:rPr>
        <w:t>Essays, Literary, Moral, and Political</w:t>
      </w:r>
      <w:r w:rsidRPr="002D3A5C">
        <w:rPr>
          <w:color w:val="000000" w:themeColor="text1"/>
        </w:rPr>
        <w:t>, 203–7 (London, Ward, Lock, &amp; Co.</w:t>
      </w:r>
      <w:r w:rsidR="00821224" w:rsidRPr="002D3A5C">
        <w:rPr>
          <w:color w:val="000000" w:themeColor="text1"/>
        </w:rPr>
        <w:t>,</w:t>
      </w:r>
      <w:r w:rsidRPr="002D3A5C">
        <w:rPr>
          <w:color w:val="000000" w:themeColor="text1"/>
        </w:rPr>
        <w:t xml:space="preserve"> 1875).</w:t>
      </w:r>
    </w:p>
  </w:footnote>
  <w:footnote w:id="90">
    <w:p w14:paraId="42BE025D" w14:textId="7967DFFB" w:rsidR="00821224" w:rsidRPr="002D3A5C" w:rsidRDefault="00821224" w:rsidP="002D3A5C">
      <w:pPr>
        <w:spacing w:after="0" w:line="240" w:lineRule="auto"/>
        <w:ind w:right="95"/>
        <w:jc w:val="both"/>
        <w:rPr>
          <w:rFonts w:eastAsia="Times New Roman"/>
          <w:color w:val="000000" w:themeColor="text1"/>
          <w:sz w:val="20"/>
          <w:szCs w:val="20"/>
          <w:lang w:val="en-US" w:eastAsia="en-GB"/>
        </w:rPr>
      </w:pPr>
      <w:r w:rsidRPr="002D3A5C">
        <w:rPr>
          <w:rStyle w:val="FootnoteReference"/>
          <w:sz w:val="20"/>
          <w:szCs w:val="20"/>
        </w:rPr>
        <w:footnoteRef/>
      </w:r>
      <w:r w:rsidRPr="002D3A5C">
        <w:rPr>
          <w:sz w:val="20"/>
          <w:szCs w:val="20"/>
        </w:rPr>
        <w:t xml:space="preserve"> H Gribnau and C Dijkstra, ‘</w:t>
      </w:r>
      <w:r w:rsidRPr="002D3A5C">
        <w:rPr>
          <w:spacing w:val="-2"/>
          <w:sz w:val="20"/>
          <w:szCs w:val="20"/>
        </w:rPr>
        <w:t xml:space="preserve">Social Contract and Beyond: Sociability, Reciprocity and Tax Ethics’ in R van Brederode (ed) </w:t>
      </w:r>
      <w:r w:rsidRPr="002D3A5C">
        <w:rPr>
          <w:i/>
          <w:iCs/>
          <w:spacing w:val="-2"/>
          <w:sz w:val="20"/>
          <w:szCs w:val="20"/>
        </w:rPr>
        <w:t>Ethics and Taxation</w:t>
      </w:r>
      <w:r w:rsidRPr="002D3A5C">
        <w:rPr>
          <w:spacing w:val="-2"/>
          <w:sz w:val="20"/>
          <w:szCs w:val="20"/>
        </w:rPr>
        <w:t xml:space="preserve"> </w:t>
      </w:r>
      <w:r w:rsidRPr="002D3A5C">
        <w:rPr>
          <w:spacing w:val="-2"/>
          <w:sz w:val="20"/>
          <w:szCs w:val="20"/>
          <w:lang w:val="en-US"/>
        </w:rPr>
        <w:t>(Singapore, Springer Nature Pte Ltd, 2020) 47, 81.</w:t>
      </w:r>
    </w:p>
  </w:footnote>
  <w:footnote w:id="91">
    <w:p w14:paraId="21AF54AD" w14:textId="0E0BCEFA" w:rsidR="0039317A" w:rsidRPr="002D3A5C" w:rsidRDefault="0039317A" w:rsidP="002D3A5C">
      <w:pPr>
        <w:autoSpaceDE w:val="0"/>
        <w:autoSpaceDN w:val="0"/>
        <w:adjustRightInd w:val="0"/>
        <w:spacing w:after="0" w:line="240" w:lineRule="auto"/>
        <w:ind w:right="-46"/>
        <w:jc w:val="both"/>
        <w:rPr>
          <w:color w:val="000000" w:themeColor="text1"/>
          <w:sz w:val="20"/>
          <w:szCs w:val="20"/>
        </w:rPr>
      </w:pPr>
      <w:r w:rsidRPr="002D3A5C">
        <w:rPr>
          <w:rStyle w:val="FootnoteReference"/>
          <w:sz w:val="20"/>
          <w:szCs w:val="20"/>
        </w:rPr>
        <w:footnoteRef/>
      </w:r>
      <w:r w:rsidRPr="002D3A5C">
        <w:rPr>
          <w:sz w:val="20"/>
          <w:szCs w:val="20"/>
        </w:rPr>
        <w:t xml:space="preserve"> D </w:t>
      </w:r>
      <w:r w:rsidRPr="002D3A5C">
        <w:rPr>
          <w:color w:val="000000" w:themeColor="text1"/>
          <w:sz w:val="20"/>
          <w:szCs w:val="20"/>
        </w:rPr>
        <w:t xml:space="preserve">Hume, </w:t>
      </w:r>
      <w:r w:rsidRPr="002D3A5C">
        <w:rPr>
          <w:i/>
          <w:iCs/>
          <w:color w:val="000000" w:themeColor="text1"/>
          <w:sz w:val="20"/>
          <w:szCs w:val="20"/>
        </w:rPr>
        <w:t>Of Civil Liberty</w:t>
      </w:r>
      <w:r w:rsidRPr="002D3A5C">
        <w:rPr>
          <w:color w:val="000000" w:themeColor="text1"/>
          <w:sz w:val="20"/>
          <w:szCs w:val="20"/>
        </w:rPr>
        <w:t>.</w:t>
      </w:r>
      <w:r w:rsidR="00F02159" w:rsidRPr="002D3A5C">
        <w:rPr>
          <w:color w:val="000000" w:themeColor="text1"/>
          <w:sz w:val="20"/>
          <w:szCs w:val="20"/>
        </w:rPr>
        <w:t xml:space="preserve"> [1741]</w:t>
      </w:r>
      <w:r w:rsidRPr="002D3A5C">
        <w:rPr>
          <w:color w:val="000000" w:themeColor="text1"/>
          <w:sz w:val="20"/>
          <w:szCs w:val="20"/>
        </w:rPr>
        <w:t xml:space="preserve"> Essay 11, in </w:t>
      </w:r>
      <w:r w:rsidRPr="002D3A5C">
        <w:rPr>
          <w:i/>
          <w:iCs/>
          <w:color w:val="000000" w:themeColor="text1"/>
          <w:sz w:val="20"/>
          <w:szCs w:val="20"/>
        </w:rPr>
        <w:t>Essays, Literary, Moral, and Political</w:t>
      </w:r>
      <w:r w:rsidRPr="002D3A5C">
        <w:rPr>
          <w:color w:val="000000" w:themeColor="text1"/>
          <w:sz w:val="20"/>
          <w:szCs w:val="20"/>
        </w:rPr>
        <w:t>, 49–55</w:t>
      </w:r>
      <w:r w:rsidR="00F02159" w:rsidRPr="002D3A5C">
        <w:rPr>
          <w:color w:val="000000" w:themeColor="text1"/>
          <w:sz w:val="20"/>
          <w:szCs w:val="20"/>
        </w:rPr>
        <w:t xml:space="preserve"> (</w:t>
      </w:r>
      <w:r w:rsidRPr="002D3A5C">
        <w:rPr>
          <w:color w:val="000000" w:themeColor="text1"/>
          <w:sz w:val="20"/>
          <w:szCs w:val="20"/>
        </w:rPr>
        <w:t>London</w:t>
      </w:r>
      <w:r w:rsidR="00F02159" w:rsidRPr="002D3A5C">
        <w:rPr>
          <w:color w:val="000000" w:themeColor="text1"/>
          <w:sz w:val="20"/>
          <w:szCs w:val="20"/>
        </w:rPr>
        <w:t>,</w:t>
      </w:r>
      <w:r w:rsidRPr="002D3A5C">
        <w:rPr>
          <w:color w:val="000000" w:themeColor="text1"/>
          <w:sz w:val="20"/>
          <w:szCs w:val="20"/>
        </w:rPr>
        <w:t xml:space="preserve"> Ward, Lock, &amp; Co.</w:t>
      </w:r>
      <w:r w:rsidR="00F02159" w:rsidRPr="002D3A5C">
        <w:rPr>
          <w:color w:val="000000" w:themeColor="text1"/>
          <w:sz w:val="20"/>
          <w:szCs w:val="20"/>
        </w:rPr>
        <w:t>,</w:t>
      </w:r>
      <w:r w:rsidRPr="002D3A5C">
        <w:rPr>
          <w:color w:val="000000" w:themeColor="text1"/>
          <w:sz w:val="20"/>
          <w:szCs w:val="20"/>
        </w:rPr>
        <w:t xml:space="preserve"> 1875).</w:t>
      </w:r>
    </w:p>
  </w:footnote>
  <w:footnote w:id="92">
    <w:p w14:paraId="51D5E986" w14:textId="6F4EB90F" w:rsidR="00F02159" w:rsidRPr="002D3A5C" w:rsidRDefault="00F02159" w:rsidP="002D3A5C">
      <w:pPr>
        <w:autoSpaceDE w:val="0"/>
        <w:autoSpaceDN w:val="0"/>
        <w:adjustRightInd w:val="0"/>
        <w:spacing w:after="0" w:line="240" w:lineRule="auto"/>
        <w:ind w:right="-46"/>
        <w:jc w:val="both"/>
        <w:rPr>
          <w:sz w:val="20"/>
          <w:szCs w:val="20"/>
        </w:rPr>
      </w:pPr>
      <w:r w:rsidRPr="002D3A5C">
        <w:rPr>
          <w:rStyle w:val="FootnoteReference"/>
          <w:sz w:val="20"/>
          <w:szCs w:val="20"/>
        </w:rPr>
        <w:footnoteRef/>
      </w:r>
      <w:r w:rsidRPr="002D3A5C">
        <w:rPr>
          <w:sz w:val="20"/>
          <w:szCs w:val="20"/>
        </w:rPr>
        <w:t xml:space="preserve"> T Dome, </w:t>
      </w:r>
      <w:r w:rsidRPr="002D3A5C">
        <w:rPr>
          <w:i/>
          <w:iCs/>
          <w:sz w:val="20"/>
          <w:szCs w:val="20"/>
        </w:rPr>
        <w:t>The Political Economy of Public Finance in Britain 1767–1873</w:t>
      </w:r>
      <w:r w:rsidRPr="002D3A5C">
        <w:rPr>
          <w:sz w:val="20"/>
          <w:szCs w:val="20"/>
        </w:rPr>
        <w:t xml:space="preserve"> (London and New York, Routledge, 2004) 3.</w:t>
      </w:r>
    </w:p>
  </w:footnote>
  <w:footnote w:id="93">
    <w:p w14:paraId="64F65B43" w14:textId="217B93DE" w:rsidR="00F2194D" w:rsidRPr="002D3A5C" w:rsidRDefault="00F2194D" w:rsidP="002D3A5C">
      <w:pPr>
        <w:pStyle w:val="FootnoteText"/>
        <w:jc w:val="both"/>
      </w:pPr>
      <w:r w:rsidRPr="002D3A5C">
        <w:rPr>
          <w:rStyle w:val="FootnoteReference"/>
        </w:rPr>
        <w:footnoteRef/>
      </w:r>
      <w:r w:rsidRPr="002D3A5C">
        <w:t xml:space="preserve"> ibid 3 citing </w:t>
      </w:r>
      <w:r w:rsidRPr="002D3A5C">
        <w:rPr>
          <w:i/>
          <w:iCs/>
        </w:rPr>
        <w:t>Of Taxes</w:t>
      </w:r>
      <w:r w:rsidRPr="002D3A5C">
        <w:t>, above n 8</w:t>
      </w:r>
      <w:r w:rsidR="00851EB3" w:rsidRPr="002D3A5C">
        <w:t>9</w:t>
      </w:r>
      <w:r w:rsidRPr="002D3A5C">
        <w:t>, 205.</w:t>
      </w:r>
    </w:p>
  </w:footnote>
  <w:footnote w:id="94">
    <w:p w14:paraId="461C8ECA" w14:textId="6A314AC0" w:rsidR="0060063A" w:rsidRPr="002D3A5C" w:rsidRDefault="0060063A" w:rsidP="002D3A5C">
      <w:pPr>
        <w:pStyle w:val="FootnoteText"/>
        <w:jc w:val="both"/>
      </w:pPr>
      <w:r w:rsidRPr="002D3A5C">
        <w:rPr>
          <w:rStyle w:val="FootnoteReference"/>
        </w:rPr>
        <w:footnoteRef/>
      </w:r>
      <w:r w:rsidRPr="002D3A5C">
        <w:t xml:space="preserve"> ibid.</w:t>
      </w:r>
    </w:p>
  </w:footnote>
  <w:footnote w:id="95">
    <w:p w14:paraId="111CA587" w14:textId="27138BC3" w:rsidR="00A004E7" w:rsidRPr="002D3A5C" w:rsidRDefault="00A004E7" w:rsidP="002D3A5C">
      <w:pPr>
        <w:pStyle w:val="FootnoteText"/>
        <w:jc w:val="both"/>
      </w:pPr>
      <w:r w:rsidRPr="002D3A5C">
        <w:rPr>
          <w:rStyle w:val="FootnoteReference"/>
        </w:rPr>
        <w:footnoteRef/>
      </w:r>
      <w:r w:rsidRPr="002D3A5C">
        <w:t xml:space="preserve"> </w:t>
      </w:r>
      <w:r w:rsidR="00AC6DD6" w:rsidRPr="002D3A5C">
        <w:t>i</w:t>
      </w:r>
      <w:r w:rsidRPr="002D3A5C">
        <w:t>bid 5.</w:t>
      </w:r>
    </w:p>
  </w:footnote>
  <w:footnote w:id="96">
    <w:p w14:paraId="46CFD55F" w14:textId="1CE47096" w:rsidR="00A733F1" w:rsidRPr="002D3A5C" w:rsidRDefault="00A733F1" w:rsidP="002D3A5C">
      <w:pPr>
        <w:pStyle w:val="FootnoteText"/>
        <w:jc w:val="both"/>
      </w:pPr>
      <w:r w:rsidRPr="002D3A5C">
        <w:rPr>
          <w:rStyle w:val="FootnoteReference"/>
        </w:rPr>
        <w:footnoteRef/>
      </w:r>
      <w:r w:rsidRPr="002D3A5C">
        <w:t xml:space="preserve"> Above </w:t>
      </w:r>
      <w:r w:rsidR="00A0517C" w:rsidRPr="002D3A5C">
        <w:t>n 5</w:t>
      </w:r>
      <w:r w:rsidR="00B76A58" w:rsidRPr="002D3A5C">
        <w:t>3</w:t>
      </w:r>
      <w:r w:rsidR="00A0517C" w:rsidRPr="002D3A5C">
        <w:t>.</w:t>
      </w:r>
    </w:p>
  </w:footnote>
  <w:footnote w:id="97">
    <w:p w14:paraId="714DBB29" w14:textId="02BFE22B" w:rsidR="00A0517C" w:rsidRPr="002D3A5C" w:rsidRDefault="00A0517C" w:rsidP="002D3A5C">
      <w:pPr>
        <w:autoSpaceDE w:val="0"/>
        <w:autoSpaceDN w:val="0"/>
        <w:adjustRightInd w:val="0"/>
        <w:spacing w:after="0" w:line="240" w:lineRule="auto"/>
        <w:ind w:right="-46"/>
        <w:jc w:val="both"/>
        <w:rPr>
          <w:spacing w:val="-2"/>
          <w:sz w:val="20"/>
          <w:szCs w:val="20"/>
        </w:rPr>
      </w:pPr>
      <w:r w:rsidRPr="002D3A5C">
        <w:rPr>
          <w:rStyle w:val="FootnoteReference"/>
          <w:sz w:val="20"/>
          <w:szCs w:val="20"/>
        </w:rPr>
        <w:footnoteRef/>
      </w:r>
      <w:r w:rsidRPr="002D3A5C">
        <w:rPr>
          <w:sz w:val="20"/>
          <w:szCs w:val="20"/>
        </w:rPr>
        <w:t xml:space="preserve"> See Gribnau and Frecknall-Hughes, above n 6</w:t>
      </w:r>
      <w:r w:rsidR="00B76A58" w:rsidRPr="002D3A5C">
        <w:rPr>
          <w:sz w:val="20"/>
          <w:szCs w:val="20"/>
        </w:rPr>
        <w:t>7</w:t>
      </w:r>
      <w:r w:rsidRPr="002D3A5C">
        <w:rPr>
          <w:sz w:val="20"/>
          <w:szCs w:val="20"/>
        </w:rPr>
        <w:t>.</w:t>
      </w:r>
      <w:r w:rsidR="007D0B53" w:rsidRPr="002D3A5C">
        <w:rPr>
          <w:sz w:val="20"/>
          <w:szCs w:val="20"/>
        </w:rPr>
        <w:t xml:space="preserve"> Also, Rousseau’s great work on the social contract was published in 1762, so his ideas were current in the </w:t>
      </w:r>
      <w:r w:rsidR="00F82D1D" w:rsidRPr="002D3A5C">
        <w:rPr>
          <w:sz w:val="20"/>
          <w:szCs w:val="20"/>
        </w:rPr>
        <w:t>‘</w:t>
      </w:r>
      <w:r w:rsidR="007D0B53" w:rsidRPr="002D3A5C">
        <w:rPr>
          <w:sz w:val="20"/>
          <w:szCs w:val="20"/>
        </w:rPr>
        <w:t>founding era</w:t>
      </w:r>
      <w:r w:rsidR="00F82D1D" w:rsidRPr="002D3A5C">
        <w:rPr>
          <w:sz w:val="20"/>
          <w:szCs w:val="20"/>
        </w:rPr>
        <w:t>’</w:t>
      </w:r>
      <w:r w:rsidR="007D0B53" w:rsidRPr="002D3A5C">
        <w:rPr>
          <w:sz w:val="20"/>
          <w:szCs w:val="20"/>
        </w:rPr>
        <w:t xml:space="preserve"> (see JJ </w:t>
      </w:r>
      <w:r w:rsidR="007D0B53" w:rsidRPr="002D3A5C">
        <w:rPr>
          <w:spacing w:val="-2"/>
          <w:sz w:val="20"/>
          <w:szCs w:val="20"/>
        </w:rPr>
        <w:t>Rousseau, ‘On the Social Contract or Principles of Political Right’</w:t>
      </w:r>
      <w:r w:rsidR="00EB3CEF" w:rsidRPr="002D3A5C">
        <w:rPr>
          <w:spacing w:val="-2"/>
          <w:sz w:val="20"/>
          <w:szCs w:val="20"/>
        </w:rPr>
        <w:t xml:space="preserve"> [1762], in RD Masters and C Kelly (eds)</w:t>
      </w:r>
      <w:r w:rsidR="007D0B53" w:rsidRPr="002D3A5C">
        <w:rPr>
          <w:spacing w:val="-2"/>
          <w:sz w:val="20"/>
          <w:szCs w:val="20"/>
        </w:rPr>
        <w:t xml:space="preserve"> </w:t>
      </w:r>
      <w:r w:rsidR="007D0B53" w:rsidRPr="002D3A5C">
        <w:rPr>
          <w:i/>
          <w:iCs/>
          <w:spacing w:val="-2"/>
          <w:sz w:val="20"/>
          <w:szCs w:val="20"/>
        </w:rPr>
        <w:t xml:space="preserve">The Collected Writings of Rousseau, </w:t>
      </w:r>
      <w:r w:rsidR="00EB3CEF" w:rsidRPr="002D3A5C">
        <w:rPr>
          <w:i/>
          <w:iCs/>
          <w:spacing w:val="-2"/>
          <w:sz w:val="20"/>
          <w:szCs w:val="20"/>
        </w:rPr>
        <w:t>v</w:t>
      </w:r>
      <w:r w:rsidR="007D0B53" w:rsidRPr="002D3A5C">
        <w:rPr>
          <w:i/>
          <w:iCs/>
          <w:spacing w:val="-2"/>
          <w:sz w:val="20"/>
          <w:szCs w:val="20"/>
        </w:rPr>
        <w:t>ol 4</w:t>
      </w:r>
      <w:r w:rsidR="007D0B53" w:rsidRPr="002D3A5C">
        <w:rPr>
          <w:spacing w:val="-2"/>
          <w:sz w:val="20"/>
          <w:szCs w:val="20"/>
        </w:rPr>
        <w:t xml:space="preserve"> </w:t>
      </w:r>
      <w:r w:rsidR="00EB3CEF" w:rsidRPr="002D3A5C">
        <w:rPr>
          <w:spacing w:val="-2"/>
          <w:sz w:val="20"/>
          <w:szCs w:val="20"/>
        </w:rPr>
        <w:t>(</w:t>
      </w:r>
      <w:r w:rsidR="007D0B53" w:rsidRPr="002D3A5C">
        <w:rPr>
          <w:spacing w:val="-2"/>
          <w:sz w:val="20"/>
          <w:szCs w:val="20"/>
        </w:rPr>
        <w:t>Hanover and London</w:t>
      </w:r>
      <w:r w:rsidR="00EB3CEF" w:rsidRPr="002D3A5C">
        <w:rPr>
          <w:spacing w:val="-2"/>
          <w:sz w:val="20"/>
          <w:szCs w:val="20"/>
        </w:rPr>
        <w:t>,</w:t>
      </w:r>
      <w:r w:rsidR="007D0B53" w:rsidRPr="002D3A5C">
        <w:rPr>
          <w:spacing w:val="-2"/>
          <w:sz w:val="20"/>
          <w:szCs w:val="20"/>
        </w:rPr>
        <w:t xml:space="preserve"> University Press of New England</w:t>
      </w:r>
      <w:r w:rsidR="00EB3CEF" w:rsidRPr="002D3A5C">
        <w:rPr>
          <w:spacing w:val="-2"/>
          <w:sz w:val="20"/>
          <w:szCs w:val="20"/>
        </w:rPr>
        <w:t>,</w:t>
      </w:r>
      <w:r w:rsidR="007D0B53" w:rsidRPr="002D3A5C">
        <w:rPr>
          <w:spacing w:val="-2"/>
          <w:sz w:val="20"/>
          <w:szCs w:val="20"/>
        </w:rPr>
        <w:t xml:space="preserve"> 1994)</w:t>
      </w:r>
      <w:r w:rsidR="00EB3CEF" w:rsidRPr="002D3A5C">
        <w:rPr>
          <w:spacing w:val="-2"/>
          <w:sz w:val="20"/>
          <w:szCs w:val="20"/>
        </w:rPr>
        <w:t xml:space="preserve"> 129</w:t>
      </w:r>
      <w:r w:rsidR="007D0B53" w:rsidRPr="002D3A5C">
        <w:rPr>
          <w:spacing w:val="-2"/>
          <w:sz w:val="20"/>
          <w:szCs w:val="20"/>
        </w:rPr>
        <w:t>.</w:t>
      </w:r>
    </w:p>
  </w:footnote>
  <w:footnote w:id="98">
    <w:p w14:paraId="16D828A1" w14:textId="2371D16D" w:rsidR="007F55A3" w:rsidRPr="002D3A5C" w:rsidRDefault="00B853C5" w:rsidP="002D3A5C">
      <w:pPr>
        <w:autoSpaceDE w:val="0"/>
        <w:autoSpaceDN w:val="0"/>
        <w:adjustRightInd w:val="0"/>
        <w:spacing w:after="0" w:line="240" w:lineRule="auto"/>
        <w:jc w:val="both"/>
        <w:rPr>
          <w:sz w:val="20"/>
          <w:szCs w:val="20"/>
        </w:rPr>
      </w:pPr>
      <w:r w:rsidRPr="002D3A5C">
        <w:rPr>
          <w:rStyle w:val="FootnoteReference"/>
          <w:sz w:val="20"/>
          <w:szCs w:val="20"/>
        </w:rPr>
        <w:footnoteRef/>
      </w:r>
      <w:r w:rsidRPr="002D3A5C">
        <w:rPr>
          <w:sz w:val="20"/>
          <w:szCs w:val="20"/>
        </w:rPr>
        <w:t xml:space="preserve"> </w:t>
      </w:r>
      <w:r w:rsidR="007F55A3" w:rsidRPr="002D3A5C">
        <w:rPr>
          <w:sz w:val="20"/>
          <w:szCs w:val="20"/>
        </w:rPr>
        <w:t xml:space="preserve">The Constitution of the United States, available at </w:t>
      </w:r>
      <w:r w:rsidR="007F55A3" w:rsidRPr="002D3A5C">
        <w:rPr>
          <w:color w:val="000000"/>
          <w:sz w:val="20"/>
          <w:szCs w:val="20"/>
        </w:rPr>
        <w:t>https://usconstitution.net/const.pdf (accessed 6 June 2022).</w:t>
      </w:r>
    </w:p>
  </w:footnote>
  <w:footnote w:id="99">
    <w:p w14:paraId="2213B289" w14:textId="097C16EC" w:rsidR="00B853C5" w:rsidRPr="002D3A5C" w:rsidRDefault="00B853C5" w:rsidP="002D3A5C">
      <w:pPr>
        <w:pStyle w:val="FootnoteText"/>
        <w:jc w:val="both"/>
      </w:pPr>
      <w:r w:rsidRPr="002D3A5C">
        <w:rPr>
          <w:rStyle w:val="FootnoteReference"/>
        </w:rPr>
        <w:footnoteRef/>
      </w:r>
      <w:r w:rsidRPr="002D3A5C">
        <w:t xml:space="preserve"> </w:t>
      </w:r>
      <w:r w:rsidR="00A64FED" w:rsidRPr="002D3A5C">
        <w:t xml:space="preserve">ibid </w:t>
      </w:r>
      <w:r w:rsidR="007F55A3" w:rsidRPr="002D3A5C">
        <w:t>Article I, Section 8, Clause 1.</w:t>
      </w:r>
    </w:p>
  </w:footnote>
  <w:footnote w:id="100">
    <w:p w14:paraId="09C237CF" w14:textId="78880936" w:rsidR="007F55A3" w:rsidRPr="002D3A5C" w:rsidRDefault="007F55A3" w:rsidP="002D3A5C">
      <w:pPr>
        <w:pStyle w:val="FootnoteText"/>
        <w:jc w:val="both"/>
      </w:pPr>
      <w:r w:rsidRPr="002D3A5C">
        <w:rPr>
          <w:rStyle w:val="FootnoteReference"/>
        </w:rPr>
        <w:footnoteRef/>
      </w:r>
      <w:r w:rsidRPr="002D3A5C">
        <w:t xml:space="preserve"> </w:t>
      </w:r>
      <w:r w:rsidR="00A64FED" w:rsidRPr="002D3A5C">
        <w:t xml:space="preserve">ibid </w:t>
      </w:r>
      <w:r w:rsidRPr="002D3A5C">
        <w:t>Article I, Section 9, Clause 4.</w:t>
      </w:r>
    </w:p>
  </w:footnote>
  <w:footnote w:id="101">
    <w:p w14:paraId="3C94AE0F" w14:textId="15D666A3" w:rsidR="007F55A3" w:rsidRPr="002D3A5C" w:rsidRDefault="007F55A3" w:rsidP="002D3A5C">
      <w:pPr>
        <w:pStyle w:val="FootnoteText"/>
        <w:jc w:val="both"/>
      </w:pPr>
      <w:r w:rsidRPr="002D3A5C">
        <w:rPr>
          <w:rStyle w:val="FootnoteReference"/>
        </w:rPr>
        <w:footnoteRef/>
      </w:r>
      <w:r w:rsidRPr="002D3A5C">
        <w:t xml:space="preserve"> </w:t>
      </w:r>
      <w:r w:rsidR="00A64FED" w:rsidRPr="002D3A5C">
        <w:t xml:space="preserve">ibid </w:t>
      </w:r>
      <w:r w:rsidRPr="002D3A5C">
        <w:t>Article I, Section 9, Clause 5.</w:t>
      </w:r>
    </w:p>
  </w:footnote>
  <w:footnote w:id="102">
    <w:p w14:paraId="3E040151" w14:textId="4160865D" w:rsidR="00A533DA" w:rsidRPr="002D3A5C" w:rsidRDefault="00A533DA" w:rsidP="002D3A5C">
      <w:pPr>
        <w:pStyle w:val="FootnoteText"/>
        <w:jc w:val="both"/>
      </w:pPr>
      <w:r w:rsidRPr="002D3A5C">
        <w:rPr>
          <w:rStyle w:val="FootnoteReference"/>
        </w:rPr>
        <w:footnoteRef/>
      </w:r>
      <w:r w:rsidRPr="002D3A5C">
        <w:t xml:space="preserve"> </w:t>
      </w:r>
      <w:r w:rsidRPr="002D3A5C">
        <w:rPr>
          <w:shd w:val="clear" w:color="auto" w:fill="FFFFFF"/>
        </w:rPr>
        <w:t xml:space="preserve">157 US 429 (1895), affirmed on rehearing, 158 US 601 (1895). The Supreme Court decision had </w:t>
      </w:r>
      <w:r w:rsidR="00094043" w:rsidRPr="002D3A5C">
        <w:rPr>
          <w:shd w:val="clear" w:color="auto" w:fill="FFFFFF"/>
        </w:rPr>
        <w:t xml:space="preserve">overturned the income tax, which had been imposed by the Wilson-Gorman Tariff Act, on the grounds of it being an </w:t>
      </w:r>
      <w:proofErr w:type="spellStart"/>
      <w:r w:rsidR="00094043" w:rsidRPr="002D3A5C">
        <w:rPr>
          <w:shd w:val="clear" w:color="auto" w:fill="FFFFFF"/>
        </w:rPr>
        <w:t>unapportioned</w:t>
      </w:r>
      <w:proofErr w:type="spellEnd"/>
      <w:r w:rsidR="00094043" w:rsidRPr="002D3A5C">
        <w:rPr>
          <w:shd w:val="clear" w:color="auto" w:fill="FFFFFF"/>
        </w:rPr>
        <w:t xml:space="preserve"> direct tax. The Sixteenth Amendment reversed the Court decision, and so allowed tax to be levied without apportionment to states.</w:t>
      </w:r>
    </w:p>
  </w:footnote>
  <w:footnote w:id="103">
    <w:p w14:paraId="24BE2722" w14:textId="16543D87" w:rsidR="00F96707" w:rsidRPr="002D3A5C" w:rsidRDefault="00F96707" w:rsidP="002D3A5C">
      <w:pPr>
        <w:pStyle w:val="FootnoteText"/>
        <w:jc w:val="both"/>
      </w:pPr>
      <w:r w:rsidRPr="002D3A5C">
        <w:rPr>
          <w:rStyle w:val="FootnoteReference"/>
        </w:rPr>
        <w:footnoteRef/>
      </w:r>
      <w:r w:rsidRPr="002D3A5C">
        <w:t xml:space="preserve"> </w:t>
      </w:r>
      <w:r w:rsidR="00B76A58" w:rsidRPr="002D3A5C">
        <w:t xml:space="preserve">Above n 1, </w:t>
      </w:r>
      <w:r w:rsidRPr="002D3A5C">
        <w:rPr>
          <w:i/>
          <w:iCs/>
        </w:rPr>
        <w:t>The Federalist Papers</w:t>
      </w:r>
      <w:r w:rsidRPr="002D3A5C">
        <w:t>, Number 30, 137.</w:t>
      </w:r>
    </w:p>
  </w:footnote>
  <w:footnote w:id="104">
    <w:p w14:paraId="06B7CEDA" w14:textId="156FF3CE" w:rsidR="008A0C10" w:rsidRPr="002D3A5C" w:rsidRDefault="008A0C10" w:rsidP="002D3A5C">
      <w:pPr>
        <w:pStyle w:val="FootnoteText"/>
        <w:jc w:val="both"/>
      </w:pPr>
      <w:r w:rsidRPr="002D3A5C">
        <w:rPr>
          <w:rStyle w:val="FootnoteReference"/>
        </w:rPr>
        <w:footnoteRef/>
      </w:r>
      <w:r w:rsidRPr="002D3A5C">
        <w:t xml:space="preserve"> </w:t>
      </w:r>
      <w:r w:rsidR="00B76A58" w:rsidRPr="002D3A5C">
        <w:t xml:space="preserve">Above n </w:t>
      </w:r>
      <w:proofErr w:type="gramStart"/>
      <w:r w:rsidR="00B76A58" w:rsidRPr="002D3A5C">
        <w:t>1,</w:t>
      </w:r>
      <w:r w:rsidRPr="002D3A5C">
        <w:t>Number</w:t>
      </w:r>
      <w:proofErr w:type="gramEnd"/>
      <w:r w:rsidRPr="002D3A5C">
        <w:t xml:space="preserve"> 34, 152.</w:t>
      </w:r>
    </w:p>
  </w:footnote>
  <w:footnote w:id="105">
    <w:p w14:paraId="74A533A7" w14:textId="27CF6C5E" w:rsidR="009A354C" w:rsidRPr="002D3A5C" w:rsidRDefault="009A354C" w:rsidP="002D3A5C">
      <w:pPr>
        <w:pStyle w:val="Default"/>
        <w:jc w:val="both"/>
        <w:rPr>
          <w:rFonts w:ascii="Times New Roman" w:hAnsi="Times New Roman" w:cs="Times New Roman"/>
          <w:sz w:val="20"/>
          <w:szCs w:val="20"/>
        </w:rPr>
      </w:pPr>
      <w:r w:rsidRPr="002D3A5C">
        <w:rPr>
          <w:rStyle w:val="FootnoteReference"/>
          <w:rFonts w:ascii="Times New Roman" w:hAnsi="Times New Roman" w:cs="Times New Roman"/>
          <w:sz w:val="20"/>
          <w:szCs w:val="20"/>
        </w:rPr>
        <w:footnoteRef/>
      </w:r>
      <w:r w:rsidRPr="002D3A5C">
        <w:rPr>
          <w:rFonts w:ascii="Times New Roman" w:hAnsi="Times New Roman" w:cs="Times New Roman"/>
          <w:sz w:val="20"/>
          <w:szCs w:val="20"/>
        </w:rPr>
        <w:t xml:space="preserve"> In his position as </w:t>
      </w:r>
      <w:r w:rsidR="00C50E12" w:rsidRPr="002D3A5C">
        <w:rPr>
          <w:rFonts w:ascii="Times New Roman" w:hAnsi="Times New Roman" w:cs="Times New Roman"/>
          <w:sz w:val="20"/>
          <w:szCs w:val="20"/>
        </w:rPr>
        <w:t xml:space="preserve">Secretary of the Treasury, after the Constitution was ratified, Hamilton oversaw the national government taking on states’ </w:t>
      </w:r>
      <w:r w:rsidR="001A0CBA" w:rsidRPr="002D3A5C">
        <w:rPr>
          <w:rFonts w:ascii="Times New Roman" w:hAnsi="Times New Roman" w:cs="Times New Roman"/>
          <w:sz w:val="20"/>
          <w:szCs w:val="20"/>
        </w:rPr>
        <w:t>W</w:t>
      </w:r>
      <w:r w:rsidR="00C50E12" w:rsidRPr="002D3A5C">
        <w:rPr>
          <w:rFonts w:ascii="Times New Roman" w:hAnsi="Times New Roman" w:cs="Times New Roman"/>
          <w:sz w:val="20"/>
          <w:szCs w:val="20"/>
        </w:rPr>
        <w:t xml:space="preserve">ar debts, thus relieving them of great fiscal burdens and instituted considerable fiscal reforms. See </w:t>
      </w:r>
      <w:proofErr w:type="spellStart"/>
      <w:r w:rsidR="00C50E12" w:rsidRPr="002D3A5C">
        <w:rPr>
          <w:rFonts w:ascii="Times New Roman" w:hAnsi="Times New Roman" w:cs="Times New Roman"/>
          <w:sz w:val="20"/>
          <w:szCs w:val="20"/>
        </w:rPr>
        <w:t>Edling</w:t>
      </w:r>
      <w:proofErr w:type="spellEnd"/>
      <w:r w:rsidR="00C50E12" w:rsidRPr="002D3A5C">
        <w:rPr>
          <w:rFonts w:ascii="Times New Roman" w:hAnsi="Times New Roman" w:cs="Times New Roman"/>
          <w:sz w:val="20"/>
          <w:szCs w:val="20"/>
        </w:rPr>
        <w:t xml:space="preserve"> and </w:t>
      </w:r>
      <w:proofErr w:type="spellStart"/>
      <w:r w:rsidR="00C50E12" w:rsidRPr="002D3A5C">
        <w:rPr>
          <w:rFonts w:ascii="Times New Roman" w:hAnsi="Times New Roman" w:cs="Times New Roman"/>
          <w:sz w:val="20"/>
          <w:szCs w:val="20"/>
        </w:rPr>
        <w:t>Kaplanoff</w:t>
      </w:r>
      <w:proofErr w:type="spellEnd"/>
      <w:r w:rsidR="00C50E12" w:rsidRPr="002D3A5C">
        <w:rPr>
          <w:rFonts w:ascii="Times New Roman" w:hAnsi="Times New Roman" w:cs="Times New Roman"/>
          <w:sz w:val="20"/>
          <w:szCs w:val="20"/>
        </w:rPr>
        <w:t>, above n 4</w:t>
      </w:r>
      <w:r w:rsidR="00B76A58" w:rsidRPr="002D3A5C">
        <w:rPr>
          <w:rFonts w:ascii="Times New Roman" w:hAnsi="Times New Roman" w:cs="Times New Roman"/>
          <w:sz w:val="20"/>
          <w:szCs w:val="20"/>
        </w:rPr>
        <w:t>8</w:t>
      </w:r>
      <w:r w:rsidR="00C50E12" w:rsidRPr="002D3A5C">
        <w:rPr>
          <w:rFonts w:ascii="Times New Roman" w:hAnsi="Times New Roman" w:cs="Times New Roman"/>
          <w:sz w:val="20"/>
          <w:szCs w:val="20"/>
        </w:rPr>
        <w:t>.</w:t>
      </w:r>
      <w:r w:rsidR="00BB2539" w:rsidRPr="002D3A5C">
        <w:rPr>
          <w:rFonts w:ascii="Times New Roman" w:hAnsi="Times New Roman" w:cs="Times New Roman"/>
          <w:sz w:val="20"/>
          <w:szCs w:val="20"/>
        </w:rPr>
        <w:t xml:space="preserve"> T McCraw, ‘The Strategic Vision of Alexander Hamilton’ (1994) 63(1) </w:t>
      </w:r>
      <w:r w:rsidR="00BB2539" w:rsidRPr="002D3A5C">
        <w:rPr>
          <w:rFonts w:ascii="Times New Roman" w:hAnsi="Times New Roman" w:cs="Times New Roman"/>
          <w:i/>
          <w:iCs/>
          <w:sz w:val="20"/>
          <w:szCs w:val="20"/>
        </w:rPr>
        <w:t>American Scholar</w:t>
      </w:r>
      <w:r w:rsidR="00BB2539" w:rsidRPr="002D3A5C">
        <w:rPr>
          <w:rFonts w:ascii="Times New Roman" w:hAnsi="Times New Roman" w:cs="Times New Roman"/>
          <w:sz w:val="20"/>
          <w:szCs w:val="20"/>
        </w:rPr>
        <w:t xml:space="preserve"> 31, 47</w:t>
      </w:r>
      <w:r w:rsidR="00FF54AD" w:rsidRPr="002D3A5C">
        <w:rPr>
          <w:rFonts w:ascii="Times New Roman" w:hAnsi="Times New Roman" w:cs="Times New Roman"/>
          <w:sz w:val="20"/>
          <w:szCs w:val="20"/>
        </w:rPr>
        <w:t>,</w:t>
      </w:r>
      <w:r w:rsidR="00BB2539" w:rsidRPr="002D3A5C">
        <w:rPr>
          <w:rFonts w:ascii="Times New Roman" w:hAnsi="Times New Roman" w:cs="Times New Roman"/>
          <w:sz w:val="20"/>
          <w:szCs w:val="20"/>
        </w:rPr>
        <w:t xml:space="preserve"> gives an estimate of about $160m for the cost of the </w:t>
      </w:r>
      <w:r w:rsidR="001A0CBA" w:rsidRPr="002D3A5C">
        <w:rPr>
          <w:rFonts w:ascii="Times New Roman" w:hAnsi="Times New Roman" w:cs="Times New Roman"/>
          <w:sz w:val="20"/>
          <w:szCs w:val="20"/>
        </w:rPr>
        <w:t>W</w:t>
      </w:r>
      <w:r w:rsidR="00BB2539" w:rsidRPr="002D3A5C">
        <w:rPr>
          <w:rFonts w:ascii="Times New Roman" w:hAnsi="Times New Roman" w:cs="Times New Roman"/>
          <w:sz w:val="20"/>
          <w:szCs w:val="20"/>
        </w:rPr>
        <w:t>ar – ‘</w:t>
      </w:r>
      <w:r w:rsidR="00BB2539" w:rsidRPr="002D3A5C">
        <w:rPr>
          <w:rFonts w:ascii="Times New Roman" w:hAnsi="Times New Roman" w:cs="Times New Roman"/>
          <w:color w:val="auto"/>
          <w:sz w:val="20"/>
          <w:szCs w:val="20"/>
        </w:rPr>
        <w:t>more than the total expenditures of the future national government over the first twenty years of its existence, from 1790 to 1810’</w:t>
      </w:r>
      <w:r w:rsidR="00BB2539" w:rsidRPr="002D3A5C">
        <w:rPr>
          <w:rFonts w:ascii="Times New Roman" w:hAnsi="Times New Roman" w:cs="Times New Roman"/>
          <w:sz w:val="20"/>
          <w:szCs w:val="20"/>
        </w:rPr>
        <w:t>.</w:t>
      </w:r>
    </w:p>
  </w:footnote>
  <w:footnote w:id="106">
    <w:p w14:paraId="38211C5C" w14:textId="5B7D1BBA" w:rsidR="002B2404" w:rsidRPr="002D3A5C" w:rsidRDefault="002B2404" w:rsidP="002D3A5C">
      <w:pPr>
        <w:pStyle w:val="FootnoteText"/>
        <w:jc w:val="both"/>
      </w:pPr>
      <w:r w:rsidRPr="002D3A5C">
        <w:rPr>
          <w:rStyle w:val="FootnoteReference"/>
        </w:rPr>
        <w:footnoteRef/>
      </w:r>
      <w:r w:rsidRPr="002D3A5C">
        <w:t xml:space="preserve"> </w:t>
      </w:r>
      <w:r w:rsidR="00E24D1A" w:rsidRPr="002D3A5C">
        <w:t>Above n</w:t>
      </w:r>
      <w:r w:rsidR="00B76A58" w:rsidRPr="002D3A5C">
        <w:t xml:space="preserve"> 1</w:t>
      </w:r>
      <w:r w:rsidR="00E24D1A" w:rsidRPr="002D3A5C">
        <w:t xml:space="preserve">, </w:t>
      </w:r>
      <w:r w:rsidR="00E24D1A" w:rsidRPr="002D3A5C">
        <w:rPr>
          <w:i/>
          <w:iCs/>
        </w:rPr>
        <w:t>The Federalist Papers</w:t>
      </w:r>
      <w:r w:rsidR="00E24D1A" w:rsidRPr="002D3A5C">
        <w:t>,</w:t>
      </w:r>
      <w:r w:rsidRPr="002D3A5C">
        <w:t xml:space="preserve"> Number 36, </w:t>
      </w:r>
      <w:r w:rsidR="00840791" w:rsidRPr="002D3A5C">
        <w:t>161.</w:t>
      </w:r>
    </w:p>
  </w:footnote>
  <w:footnote w:id="107">
    <w:p w14:paraId="4484436F" w14:textId="1BC9D429" w:rsidR="001A7308" w:rsidRPr="002D3A5C" w:rsidRDefault="001A7308" w:rsidP="002D3A5C">
      <w:pPr>
        <w:pStyle w:val="FootnoteText"/>
        <w:jc w:val="both"/>
      </w:pPr>
      <w:r w:rsidRPr="002D3A5C">
        <w:rPr>
          <w:rStyle w:val="FootnoteReference"/>
        </w:rPr>
        <w:footnoteRef/>
      </w:r>
      <w:r w:rsidRPr="002D3A5C">
        <w:t xml:space="preserve"> </w:t>
      </w:r>
      <w:r w:rsidR="00840791" w:rsidRPr="002D3A5C">
        <w:t>ibid</w:t>
      </w:r>
      <w:r w:rsidRPr="002D3A5C">
        <w:t xml:space="preserve"> Number 34, 151.</w:t>
      </w:r>
    </w:p>
  </w:footnote>
  <w:footnote w:id="108">
    <w:p w14:paraId="6B6FAF10" w14:textId="4B823973" w:rsidR="001A7308" w:rsidRPr="002D3A5C" w:rsidRDefault="001A7308" w:rsidP="002D3A5C">
      <w:pPr>
        <w:autoSpaceDE w:val="0"/>
        <w:autoSpaceDN w:val="0"/>
        <w:adjustRightInd w:val="0"/>
        <w:spacing w:after="0" w:line="240" w:lineRule="auto"/>
        <w:ind w:right="-46"/>
        <w:jc w:val="both"/>
        <w:rPr>
          <w:color w:val="000000" w:themeColor="text1"/>
          <w:sz w:val="20"/>
          <w:szCs w:val="20"/>
        </w:rPr>
      </w:pPr>
      <w:r w:rsidRPr="002D3A5C">
        <w:rPr>
          <w:rStyle w:val="FootnoteReference"/>
          <w:sz w:val="20"/>
          <w:szCs w:val="20"/>
        </w:rPr>
        <w:footnoteRef/>
      </w:r>
      <w:r w:rsidRPr="002D3A5C">
        <w:rPr>
          <w:sz w:val="20"/>
          <w:szCs w:val="20"/>
        </w:rPr>
        <w:t xml:space="preserve"> See T </w:t>
      </w:r>
      <w:r w:rsidRPr="002D3A5C">
        <w:rPr>
          <w:color w:val="000000" w:themeColor="text1"/>
          <w:sz w:val="20"/>
          <w:szCs w:val="20"/>
        </w:rPr>
        <w:t xml:space="preserve">Ball, ‘The Federalist Papers’, </w:t>
      </w:r>
      <w:r w:rsidR="00C650E4" w:rsidRPr="002D3A5C">
        <w:rPr>
          <w:color w:val="000000" w:themeColor="text1"/>
          <w:sz w:val="20"/>
          <w:szCs w:val="20"/>
        </w:rPr>
        <w:t>in D Boucher and P Kelly (eds),</w:t>
      </w:r>
      <w:r w:rsidRPr="002D3A5C">
        <w:rPr>
          <w:color w:val="000000" w:themeColor="text1"/>
          <w:sz w:val="20"/>
          <w:szCs w:val="20"/>
        </w:rPr>
        <w:t xml:space="preserve"> </w:t>
      </w:r>
      <w:r w:rsidRPr="002D3A5C">
        <w:rPr>
          <w:i/>
          <w:iCs/>
          <w:color w:val="000000" w:themeColor="text1"/>
          <w:sz w:val="20"/>
          <w:szCs w:val="20"/>
        </w:rPr>
        <w:t>Political Thinkers: From Socrates to the Present</w:t>
      </w:r>
      <w:r w:rsidRPr="002D3A5C">
        <w:rPr>
          <w:color w:val="000000" w:themeColor="text1"/>
          <w:sz w:val="20"/>
          <w:szCs w:val="20"/>
        </w:rPr>
        <w:t xml:space="preserve"> </w:t>
      </w:r>
      <w:r w:rsidR="00C650E4" w:rsidRPr="002D3A5C">
        <w:rPr>
          <w:color w:val="000000" w:themeColor="text1"/>
          <w:sz w:val="20"/>
          <w:szCs w:val="20"/>
        </w:rPr>
        <w:t>(</w:t>
      </w:r>
      <w:r w:rsidRPr="002D3A5C">
        <w:rPr>
          <w:color w:val="000000" w:themeColor="text1"/>
          <w:sz w:val="20"/>
          <w:szCs w:val="20"/>
        </w:rPr>
        <w:t>Oxford</w:t>
      </w:r>
      <w:r w:rsidR="00C650E4" w:rsidRPr="002D3A5C">
        <w:rPr>
          <w:color w:val="000000" w:themeColor="text1"/>
          <w:sz w:val="20"/>
          <w:szCs w:val="20"/>
        </w:rPr>
        <w:t>, OUP, 2003) 235.</w:t>
      </w:r>
    </w:p>
  </w:footnote>
  <w:footnote w:id="109">
    <w:p w14:paraId="21CDED79" w14:textId="699D96A5" w:rsidR="00654510" w:rsidRPr="002D3A5C" w:rsidRDefault="00654510" w:rsidP="002D3A5C">
      <w:pPr>
        <w:pStyle w:val="FootnoteText"/>
        <w:jc w:val="both"/>
      </w:pPr>
      <w:r w:rsidRPr="002D3A5C">
        <w:rPr>
          <w:rStyle w:val="FootnoteReference"/>
        </w:rPr>
        <w:footnoteRef/>
      </w:r>
      <w:r w:rsidRPr="002D3A5C">
        <w:t xml:space="preserve"> Above n </w:t>
      </w:r>
      <w:r w:rsidR="005D0D20" w:rsidRPr="002D3A5C">
        <w:t>91</w:t>
      </w:r>
      <w:r w:rsidRPr="002D3A5C">
        <w:t>.</w:t>
      </w:r>
    </w:p>
  </w:footnote>
  <w:footnote w:id="110">
    <w:p w14:paraId="43B91E12" w14:textId="0B14C563" w:rsidR="00410F6F" w:rsidRPr="002D3A5C" w:rsidRDefault="00410F6F" w:rsidP="002D3A5C">
      <w:pPr>
        <w:spacing w:after="0" w:line="240" w:lineRule="auto"/>
        <w:ind w:right="-46"/>
        <w:jc w:val="both"/>
        <w:rPr>
          <w:rFonts w:eastAsia="Times New Roman"/>
          <w:color w:val="000000" w:themeColor="text1"/>
          <w:sz w:val="20"/>
          <w:szCs w:val="20"/>
          <w:lang w:eastAsia="en-GB"/>
        </w:rPr>
      </w:pPr>
      <w:r w:rsidRPr="002D3A5C">
        <w:rPr>
          <w:rStyle w:val="FootnoteReference"/>
          <w:sz w:val="20"/>
          <w:szCs w:val="20"/>
        </w:rPr>
        <w:footnoteRef/>
      </w:r>
      <w:r w:rsidRPr="002D3A5C">
        <w:rPr>
          <w:sz w:val="20"/>
          <w:szCs w:val="20"/>
        </w:rPr>
        <w:t xml:space="preserve"> M Dr</w:t>
      </w:r>
      <w:r w:rsidRPr="002D3A5C">
        <w:rPr>
          <w:rFonts w:eastAsia="Times New Roman"/>
          <w:color w:val="000000" w:themeColor="text1"/>
          <w:sz w:val="20"/>
          <w:szCs w:val="20"/>
          <w:lang w:eastAsia="en-GB"/>
        </w:rPr>
        <w:t xml:space="preserve">y, ‘The Debate Over Ratification’ in JP Greene and JR Pole (eds) </w:t>
      </w:r>
      <w:r w:rsidRPr="002D3A5C">
        <w:rPr>
          <w:rFonts w:eastAsia="Times New Roman"/>
          <w:i/>
          <w:iCs/>
          <w:color w:val="000000" w:themeColor="text1"/>
          <w:sz w:val="20"/>
          <w:szCs w:val="20"/>
          <w:lang w:eastAsia="en-GB"/>
        </w:rPr>
        <w:t>A Companion to the American Revolution</w:t>
      </w:r>
      <w:r w:rsidRPr="002D3A5C">
        <w:rPr>
          <w:rFonts w:eastAsia="Times New Roman"/>
          <w:color w:val="000000" w:themeColor="text1"/>
          <w:sz w:val="20"/>
          <w:szCs w:val="20"/>
          <w:lang w:eastAsia="en-GB"/>
        </w:rPr>
        <w:t xml:space="preserve"> (Massachusetts, Blackwell Publishers Inc., 2000) 482, 489.</w:t>
      </w:r>
    </w:p>
  </w:footnote>
  <w:footnote w:id="111">
    <w:p w14:paraId="71B6F050" w14:textId="5DA91D3E" w:rsidR="00B277BB" w:rsidRPr="002D3A5C" w:rsidRDefault="00B277BB" w:rsidP="002D3A5C">
      <w:pPr>
        <w:pStyle w:val="FootnoteText"/>
        <w:jc w:val="both"/>
      </w:pPr>
      <w:r w:rsidRPr="002D3A5C">
        <w:rPr>
          <w:rStyle w:val="FootnoteReference"/>
        </w:rPr>
        <w:footnoteRef/>
      </w:r>
      <w:r w:rsidRPr="002D3A5C">
        <w:t xml:space="preserve"> </w:t>
      </w:r>
      <w:r w:rsidR="00DF4A0D" w:rsidRPr="002D3A5C">
        <w:t>Above n 5</w:t>
      </w:r>
      <w:r w:rsidR="005D0D20" w:rsidRPr="002D3A5C">
        <w:t>2</w:t>
      </w:r>
      <w:r w:rsidR="00445968" w:rsidRPr="002D3A5C">
        <w:t>, 413</w:t>
      </w:r>
      <w:r w:rsidR="00DF4A0D" w:rsidRPr="002D3A5C">
        <w:t>.</w:t>
      </w:r>
    </w:p>
  </w:footnote>
  <w:footnote w:id="112">
    <w:p w14:paraId="64DC7662" w14:textId="0BC71015" w:rsidR="00445968" w:rsidRPr="002D3A5C" w:rsidRDefault="00445968" w:rsidP="002D3A5C">
      <w:pPr>
        <w:pStyle w:val="FootnoteText"/>
        <w:jc w:val="both"/>
      </w:pPr>
      <w:r w:rsidRPr="002D3A5C">
        <w:rPr>
          <w:rStyle w:val="FootnoteReference"/>
        </w:rPr>
        <w:footnoteRef/>
      </w:r>
      <w:r w:rsidRPr="002D3A5C">
        <w:t xml:space="preserve"> ibid.</w:t>
      </w:r>
    </w:p>
  </w:footnote>
  <w:footnote w:id="113">
    <w:p w14:paraId="0927274F" w14:textId="4601742D" w:rsidR="00873FD2" w:rsidRPr="002D3A5C" w:rsidRDefault="00873FD2" w:rsidP="002D3A5C">
      <w:pPr>
        <w:pStyle w:val="FootnoteText"/>
        <w:jc w:val="both"/>
      </w:pPr>
      <w:r w:rsidRPr="002D3A5C">
        <w:rPr>
          <w:rStyle w:val="FootnoteReference"/>
        </w:rPr>
        <w:footnoteRef/>
      </w:r>
      <w:r w:rsidRPr="002D3A5C">
        <w:t xml:space="preserve"> Above n </w:t>
      </w:r>
      <w:r w:rsidR="005D0D20" w:rsidRPr="002D3A5C">
        <w:t>1</w:t>
      </w:r>
      <w:r w:rsidR="00472DF7" w:rsidRPr="002D3A5C">
        <w:t>, 107.</w:t>
      </w:r>
    </w:p>
  </w:footnote>
  <w:footnote w:id="114">
    <w:p w14:paraId="5BA1B4BA" w14:textId="55877304" w:rsidR="00B9510D" w:rsidRPr="002D3A5C" w:rsidRDefault="00B9510D" w:rsidP="002D3A5C">
      <w:pPr>
        <w:autoSpaceDE w:val="0"/>
        <w:autoSpaceDN w:val="0"/>
        <w:adjustRightInd w:val="0"/>
        <w:spacing w:after="0" w:line="240" w:lineRule="auto"/>
        <w:jc w:val="both"/>
        <w:rPr>
          <w:sz w:val="20"/>
          <w:szCs w:val="20"/>
        </w:rPr>
      </w:pPr>
      <w:r w:rsidRPr="002D3A5C">
        <w:rPr>
          <w:rStyle w:val="FootnoteReference"/>
          <w:sz w:val="20"/>
          <w:szCs w:val="20"/>
        </w:rPr>
        <w:footnoteRef/>
      </w:r>
      <w:r w:rsidRPr="002D3A5C">
        <w:rPr>
          <w:sz w:val="20"/>
          <w:szCs w:val="20"/>
        </w:rPr>
        <w:t xml:space="preserve"> </w:t>
      </w:r>
      <w:r w:rsidR="00244BB1" w:rsidRPr="002D3A5C">
        <w:rPr>
          <w:sz w:val="20"/>
          <w:szCs w:val="20"/>
        </w:rPr>
        <w:t xml:space="preserve">JL </w:t>
      </w:r>
      <w:proofErr w:type="spellStart"/>
      <w:r w:rsidR="00244BB1" w:rsidRPr="002D3A5C">
        <w:rPr>
          <w:sz w:val="20"/>
          <w:szCs w:val="20"/>
        </w:rPr>
        <w:t>Mashaw</w:t>
      </w:r>
      <w:proofErr w:type="spellEnd"/>
      <w:r w:rsidR="00244BB1" w:rsidRPr="002D3A5C">
        <w:rPr>
          <w:sz w:val="20"/>
          <w:szCs w:val="20"/>
        </w:rPr>
        <w:t xml:space="preserve">, ‘Recovering American Administrative Law: Federalism Foundations, 1787–1801’ (2006) 115(6) </w:t>
      </w:r>
      <w:r w:rsidR="00244BB1" w:rsidRPr="002D3A5C">
        <w:rPr>
          <w:i/>
          <w:iCs/>
          <w:sz w:val="20"/>
          <w:szCs w:val="20"/>
        </w:rPr>
        <w:t>Yale Law Journal</w:t>
      </w:r>
      <w:r w:rsidR="00244BB1" w:rsidRPr="002D3A5C">
        <w:rPr>
          <w:sz w:val="20"/>
          <w:szCs w:val="20"/>
        </w:rPr>
        <w:t xml:space="preserve"> 1256, 1278.</w:t>
      </w:r>
    </w:p>
  </w:footnote>
  <w:footnote w:id="115">
    <w:p w14:paraId="4310BBED" w14:textId="40D2C388" w:rsidR="00472DF7" w:rsidRPr="002D3A5C" w:rsidRDefault="00472DF7" w:rsidP="002D3A5C">
      <w:pPr>
        <w:pStyle w:val="FootnoteText"/>
        <w:jc w:val="both"/>
      </w:pPr>
      <w:r w:rsidRPr="002D3A5C">
        <w:rPr>
          <w:rStyle w:val="FootnoteReference"/>
        </w:rPr>
        <w:footnoteRef/>
      </w:r>
      <w:r w:rsidRPr="002D3A5C">
        <w:t xml:space="preserve"> </w:t>
      </w:r>
      <w:r w:rsidR="00E4779A" w:rsidRPr="002D3A5C">
        <w:t xml:space="preserve">Above n </w:t>
      </w:r>
      <w:r w:rsidR="005D0D20" w:rsidRPr="002D3A5C">
        <w:t>1</w:t>
      </w:r>
      <w:r w:rsidR="00E4779A" w:rsidRPr="002D3A5C">
        <w:t>,</w:t>
      </w:r>
      <w:r w:rsidRPr="002D3A5C">
        <w:t xml:space="preserve"> 108</w:t>
      </w:r>
      <w:r w:rsidR="00DC4A03" w:rsidRPr="002D3A5C">
        <w:t>.</w:t>
      </w:r>
    </w:p>
  </w:footnote>
  <w:footnote w:id="116">
    <w:p w14:paraId="25AD5081" w14:textId="485438DE" w:rsidR="009C4FF3" w:rsidRPr="002D3A5C" w:rsidRDefault="009C4FF3" w:rsidP="002D3A5C">
      <w:pPr>
        <w:pStyle w:val="FootnoteText"/>
        <w:jc w:val="both"/>
      </w:pPr>
      <w:r w:rsidRPr="002D3A5C">
        <w:rPr>
          <w:rStyle w:val="FootnoteReference"/>
        </w:rPr>
        <w:footnoteRef/>
      </w:r>
      <w:r w:rsidRPr="002D3A5C">
        <w:t xml:space="preserve"> </w:t>
      </w:r>
      <w:r w:rsidR="00DC4A03" w:rsidRPr="002D3A5C">
        <w:t>ibid</w:t>
      </w:r>
      <w:r w:rsidRPr="002D3A5C">
        <w:t xml:space="preserve"> 118.</w:t>
      </w:r>
    </w:p>
  </w:footnote>
  <w:footnote w:id="117">
    <w:p w14:paraId="2BF6667B" w14:textId="62168360" w:rsidR="00DC4A03" w:rsidRPr="002D3A5C" w:rsidRDefault="00DC4A03" w:rsidP="002D3A5C">
      <w:pPr>
        <w:pStyle w:val="FootnoteText"/>
        <w:jc w:val="both"/>
      </w:pPr>
      <w:r w:rsidRPr="002D3A5C">
        <w:rPr>
          <w:rStyle w:val="FootnoteReference"/>
        </w:rPr>
        <w:footnoteRef/>
      </w:r>
      <w:r w:rsidRPr="002D3A5C">
        <w:t xml:space="preserve"> ibid 146.</w:t>
      </w:r>
    </w:p>
  </w:footnote>
  <w:footnote w:id="118">
    <w:p w14:paraId="31C052AD" w14:textId="18DF0957" w:rsidR="0076435B" w:rsidRPr="002D3A5C" w:rsidRDefault="0076435B" w:rsidP="002D3A5C">
      <w:pPr>
        <w:pStyle w:val="FootnoteText"/>
        <w:jc w:val="both"/>
      </w:pPr>
      <w:r w:rsidRPr="002D3A5C">
        <w:rPr>
          <w:rStyle w:val="FootnoteReference"/>
        </w:rPr>
        <w:footnoteRef/>
      </w:r>
      <w:r w:rsidRPr="002D3A5C">
        <w:t xml:space="preserve"> </w:t>
      </w:r>
      <w:r w:rsidR="00E41D68" w:rsidRPr="002D3A5C">
        <w:t xml:space="preserve">DR Weaver, ‘Leadership, Locke and the Federalist’ (1997) 41(2) </w:t>
      </w:r>
      <w:r w:rsidR="00E41D68" w:rsidRPr="002D3A5C">
        <w:rPr>
          <w:i/>
          <w:iCs/>
        </w:rPr>
        <w:t>American Journal of Political Science</w:t>
      </w:r>
      <w:r w:rsidR="00E41D68" w:rsidRPr="002D3A5C">
        <w:t xml:space="preserve"> 420, 422</w:t>
      </w:r>
    </w:p>
  </w:footnote>
  <w:footnote w:id="119">
    <w:p w14:paraId="77BEB3D2" w14:textId="28DCF087" w:rsidR="00CD7EA0" w:rsidRPr="002D3A5C" w:rsidRDefault="00CD7EA0" w:rsidP="002D3A5C">
      <w:pPr>
        <w:pStyle w:val="xmsonormal"/>
        <w:shd w:val="clear" w:color="auto" w:fill="FFFFFF"/>
        <w:spacing w:before="0" w:beforeAutospacing="0" w:after="0" w:afterAutospacing="0"/>
        <w:ind w:right="-46"/>
        <w:jc w:val="both"/>
        <w:rPr>
          <w:color w:val="000000"/>
          <w:spacing w:val="-2"/>
          <w:sz w:val="20"/>
          <w:szCs w:val="20"/>
          <w:bdr w:val="none" w:sz="0" w:space="0" w:color="auto" w:frame="1"/>
          <w:lang w:val="en-US"/>
        </w:rPr>
      </w:pPr>
      <w:r w:rsidRPr="002D3A5C">
        <w:rPr>
          <w:rStyle w:val="FootnoteReference"/>
          <w:sz w:val="20"/>
          <w:szCs w:val="20"/>
        </w:rPr>
        <w:footnoteRef/>
      </w:r>
      <w:r w:rsidRPr="002D3A5C">
        <w:rPr>
          <w:sz w:val="20"/>
          <w:szCs w:val="20"/>
        </w:rPr>
        <w:t xml:space="preserve"> D </w:t>
      </w:r>
      <w:r w:rsidRPr="002D3A5C">
        <w:rPr>
          <w:color w:val="000000"/>
          <w:spacing w:val="-2"/>
          <w:sz w:val="20"/>
          <w:szCs w:val="20"/>
          <w:bdr w:val="none" w:sz="0" w:space="0" w:color="auto" w:frame="1"/>
          <w:lang w:val="en-US"/>
        </w:rPr>
        <w:t xml:space="preserve">Wootton, </w:t>
      </w:r>
      <w:r w:rsidRPr="002D3A5C">
        <w:rPr>
          <w:i/>
          <w:iCs/>
          <w:color w:val="000000"/>
          <w:spacing w:val="-2"/>
          <w:sz w:val="20"/>
          <w:szCs w:val="20"/>
          <w:bdr w:val="none" w:sz="0" w:space="0" w:color="auto" w:frame="1"/>
          <w:lang w:val="en-US"/>
        </w:rPr>
        <w:t>Power, Pleasure, and Profit: Insatiable Appetites from Machiavelli to Madison</w:t>
      </w:r>
      <w:r w:rsidRPr="002D3A5C">
        <w:rPr>
          <w:color w:val="000000"/>
          <w:spacing w:val="-2"/>
          <w:sz w:val="20"/>
          <w:szCs w:val="20"/>
          <w:bdr w:val="none" w:sz="0" w:space="0" w:color="auto" w:frame="1"/>
          <w:lang w:val="en-US"/>
        </w:rPr>
        <w:t>. (Cambridge, Massachusetts and London, The Belknap Press of Harvard University Press, 2018) 140–1.</w:t>
      </w:r>
    </w:p>
  </w:footnote>
  <w:footnote w:id="120">
    <w:p w14:paraId="12A328F3" w14:textId="6DF71F8B" w:rsidR="0076054F" w:rsidRDefault="0076054F" w:rsidP="002D3A5C">
      <w:pPr>
        <w:pStyle w:val="FootnoteText"/>
        <w:jc w:val="both"/>
      </w:pPr>
      <w:r w:rsidRPr="002D3A5C">
        <w:rPr>
          <w:rStyle w:val="FootnoteReference"/>
        </w:rPr>
        <w:footnoteRef/>
      </w:r>
      <w:r w:rsidRPr="002D3A5C">
        <w:t xml:space="preserve"> Cited by JP Reid, </w:t>
      </w:r>
      <w:r w:rsidRPr="002D3A5C">
        <w:rPr>
          <w:i/>
          <w:iCs/>
        </w:rPr>
        <w:t>Constitu</w:t>
      </w:r>
      <w:r w:rsidR="002235D2" w:rsidRPr="002D3A5C">
        <w:rPr>
          <w:i/>
          <w:iCs/>
        </w:rPr>
        <w:t>t</w:t>
      </w:r>
      <w:r w:rsidRPr="002D3A5C">
        <w:rPr>
          <w:i/>
          <w:iCs/>
        </w:rPr>
        <w:t xml:space="preserve">ional History of </w:t>
      </w:r>
      <w:r w:rsidR="002235D2" w:rsidRPr="002D3A5C">
        <w:rPr>
          <w:i/>
          <w:iCs/>
        </w:rPr>
        <w:t xml:space="preserve">the American Revolution: </w:t>
      </w:r>
      <w:r w:rsidRPr="002D3A5C">
        <w:rPr>
          <w:i/>
          <w:iCs/>
        </w:rPr>
        <w:t>The Authority to Tax</w:t>
      </w:r>
      <w:r w:rsidR="002235D2" w:rsidRPr="002D3A5C">
        <w:t xml:space="preserve"> (Madison, Wisco</w:t>
      </w:r>
      <w:r w:rsidR="002235D2">
        <w:t>nsin, University of Wisconsin Press, 1987) 137</w:t>
      </w:r>
      <w:r w:rsidR="00D0015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284F" w14:textId="2AA864BF" w:rsidR="008F1A27" w:rsidRPr="008F1A27" w:rsidRDefault="008F1A27" w:rsidP="008F1A27">
    <w:pPr>
      <w:pStyle w:val="Header"/>
      <w:jc w:val="right"/>
      <w:rPr>
        <w:i/>
        <w:iCs/>
        <w:sz w:val="20"/>
        <w:szCs w:val="20"/>
      </w:rPr>
    </w:pPr>
    <w:r w:rsidRPr="008F1A27">
      <w:rPr>
        <w:i/>
        <w:iCs/>
        <w:sz w:val="20"/>
        <w:szCs w:val="20"/>
      </w:rPr>
      <w:t>First draft. Please do not cite without the authors’ permission.</w:t>
    </w:r>
  </w:p>
  <w:p w14:paraId="1B688E2A" w14:textId="77777777" w:rsidR="008F1A27" w:rsidRPr="008F1A27" w:rsidRDefault="008F1A27">
    <w:pPr>
      <w:pStyle w:val="Header"/>
      <w:rPr>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EEA"/>
    <w:multiLevelType w:val="multilevel"/>
    <w:tmpl w:val="6428E0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60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94"/>
    <w:rsid w:val="00000267"/>
    <w:rsid w:val="000016C0"/>
    <w:rsid w:val="00007DD8"/>
    <w:rsid w:val="0001109E"/>
    <w:rsid w:val="00013B69"/>
    <w:rsid w:val="000212C8"/>
    <w:rsid w:val="00027AC3"/>
    <w:rsid w:val="00045C2D"/>
    <w:rsid w:val="00050DD4"/>
    <w:rsid w:val="00053D0B"/>
    <w:rsid w:val="00055440"/>
    <w:rsid w:val="00062648"/>
    <w:rsid w:val="000765E6"/>
    <w:rsid w:val="0008168C"/>
    <w:rsid w:val="00084E7E"/>
    <w:rsid w:val="000865EB"/>
    <w:rsid w:val="00086FF8"/>
    <w:rsid w:val="00094043"/>
    <w:rsid w:val="000C3A5A"/>
    <w:rsid w:val="000C5165"/>
    <w:rsid w:val="000C5CDC"/>
    <w:rsid w:val="000C6D47"/>
    <w:rsid w:val="000D54CC"/>
    <w:rsid w:val="000D6897"/>
    <w:rsid w:val="000E54A6"/>
    <w:rsid w:val="000F009F"/>
    <w:rsid w:val="00100B5D"/>
    <w:rsid w:val="00105DC5"/>
    <w:rsid w:val="00115245"/>
    <w:rsid w:val="00115F7C"/>
    <w:rsid w:val="00122122"/>
    <w:rsid w:val="00123E1B"/>
    <w:rsid w:val="00131808"/>
    <w:rsid w:val="00135925"/>
    <w:rsid w:val="00150391"/>
    <w:rsid w:val="00154A80"/>
    <w:rsid w:val="0016483D"/>
    <w:rsid w:val="00175803"/>
    <w:rsid w:val="001A0CBA"/>
    <w:rsid w:val="001A33E8"/>
    <w:rsid w:val="001A6C02"/>
    <w:rsid w:val="001A7308"/>
    <w:rsid w:val="001B066B"/>
    <w:rsid w:val="001B146B"/>
    <w:rsid w:val="001B4A6A"/>
    <w:rsid w:val="001C091B"/>
    <w:rsid w:val="001C5DF7"/>
    <w:rsid w:val="001C7A45"/>
    <w:rsid w:val="001D1FB5"/>
    <w:rsid w:val="001D27D2"/>
    <w:rsid w:val="001D555E"/>
    <w:rsid w:val="001E3DC5"/>
    <w:rsid w:val="001E6A75"/>
    <w:rsid w:val="001F384C"/>
    <w:rsid w:val="001F3B9F"/>
    <w:rsid w:val="001F6DFE"/>
    <w:rsid w:val="002030EC"/>
    <w:rsid w:val="00204081"/>
    <w:rsid w:val="00211D4C"/>
    <w:rsid w:val="002120E7"/>
    <w:rsid w:val="00214DB8"/>
    <w:rsid w:val="002235D2"/>
    <w:rsid w:val="002434A5"/>
    <w:rsid w:val="00244BB1"/>
    <w:rsid w:val="00250373"/>
    <w:rsid w:val="00264DAE"/>
    <w:rsid w:val="00267C86"/>
    <w:rsid w:val="00271268"/>
    <w:rsid w:val="002877B6"/>
    <w:rsid w:val="00291406"/>
    <w:rsid w:val="00292683"/>
    <w:rsid w:val="002A7A54"/>
    <w:rsid w:val="002B1968"/>
    <w:rsid w:val="002B2404"/>
    <w:rsid w:val="002C5453"/>
    <w:rsid w:val="002D16B0"/>
    <w:rsid w:val="002D3A5C"/>
    <w:rsid w:val="002D5221"/>
    <w:rsid w:val="002E7D7B"/>
    <w:rsid w:val="002F4DA8"/>
    <w:rsid w:val="003019FE"/>
    <w:rsid w:val="003028A6"/>
    <w:rsid w:val="00304007"/>
    <w:rsid w:val="003111B3"/>
    <w:rsid w:val="00320F16"/>
    <w:rsid w:val="003227D5"/>
    <w:rsid w:val="003331CC"/>
    <w:rsid w:val="003360E5"/>
    <w:rsid w:val="00337FC2"/>
    <w:rsid w:val="00347088"/>
    <w:rsid w:val="0035609C"/>
    <w:rsid w:val="0035772A"/>
    <w:rsid w:val="00367F7F"/>
    <w:rsid w:val="00373099"/>
    <w:rsid w:val="003845E5"/>
    <w:rsid w:val="0039317A"/>
    <w:rsid w:val="003A4377"/>
    <w:rsid w:val="003A7278"/>
    <w:rsid w:val="003B2FBE"/>
    <w:rsid w:val="003B61CD"/>
    <w:rsid w:val="003B77A6"/>
    <w:rsid w:val="003C4A15"/>
    <w:rsid w:val="003D21BB"/>
    <w:rsid w:val="003D5259"/>
    <w:rsid w:val="003D75A1"/>
    <w:rsid w:val="003F1648"/>
    <w:rsid w:val="003F3231"/>
    <w:rsid w:val="00402DBC"/>
    <w:rsid w:val="00410F6F"/>
    <w:rsid w:val="00416D15"/>
    <w:rsid w:val="00422FB6"/>
    <w:rsid w:val="00424F59"/>
    <w:rsid w:val="004354A9"/>
    <w:rsid w:val="00436D9B"/>
    <w:rsid w:val="00437636"/>
    <w:rsid w:val="00445968"/>
    <w:rsid w:val="00450451"/>
    <w:rsid w:val="00454102"/>
    <w:rsid w:val="00455472"/>
    <w:rsid w:val="00461875"/>
    <w:rsid w:val="0046721E"/>
    <w:rsid w:val="0047036C"/>
    <w:rsid w:val="00471DD4"/>
    <w:rsid w:val="004720BA"/>
    <w:rsid w:val="00472DF7"/>
    <w:rsid w:val="004A3F29"/>
    <w:rsid w:val="004A6940"/>
    <w:rsid w:val="004B4AAC"/>
    <w:rsid w:val="004C16B1"/>
    <w:rsid w:val="004D1E81"/>
    <w:rsid w:val="004D3D51"/>
    <w:rsid w:val="004D5607"/>
    <w:rsid w:val="004D6759"/>
    <w:rsid w:val="004D7316"/>
    <w:rsid w:val="004E2F6D"/>
    <w:rsid w:val="004E3415"/>
    <w:rsid w:val="00502E91"/>
    <w:rsid w:val="00505564"/>
    <w:rsid w:val="00505CE8"/>
    <w:rsid w:val="005132C9"/>
    <w:rsid w:val="0051718C"/>
    <w:rsid w:val="005242CC"/>
    <w:rsid w:val="00526166"/>
    <w:rsid w:val="00530D1E"/>
    <w:rsid w:val="0053198B"/>
    <w:rsid w:val="00532F65"/>
    <w:rsid w:val="00541C51"/>
    <w:rsid w:val="005449D5"/>
    <w:rsid w:val="00546E1B"/>
    <w:rsid w:val="0054716E"/>
    <w:rsid w:val="00554226"/>
    <w:rsid w:val="005604E9"/>
    <w:rsid w:val="0056661B"/>
    <w:rsid w:val="005725AC"/>
    <w:rsid w:val="00573480"/>
    <w:rsid w:val="00582339"/>
    <w:rsid w:val="00586AE0"/>
    <w:rsid w:val="005C61A7"/>
    <w:rsid w:val="005C7780"/>
    <w:rsid w:val="005D0D20"/>
    <w:rsid w:val="005D1415"/>
    <w:rsid w:val="005D1A9B"/>
    <w:rsid w:val="005D1F2C"/>
    <w:rsid w:val="005D371D"/>
    <w:rsid w:val="005E3595"/>
    <w:rsid w:val="005E38C0"/>
    <w:rsid w:val="005F0805"/>
    <w:rsid w:val="0060063A"/>
    <w:rsid w:val="0060478A"/>
    <w:rsid w:val="0061285E"/>
    <w:rsid w:val="006136E2"/>
    <w:rsid w:val="00613755"/>
    <w:rsid w:val="00617602"/>
    <w:rsid w:val="00622C13"/>
    <w:rsid w:val="00623847"/>
    <w:rsid w:val="00625AE1"/>
    <w:rsid w:val="006341B8"/>
    <w:rsid w:val="00635D7A"/>
    <w:rsid w:val="006371B4"/>
    <w:rsid w:val="00641017"/>
    <w:rsid w:val="00652363"/>
    <w:rsid w:val="00654510"/>
    <w:rsid w:val="006555F3"/>
    <w:rsid w:val="00657543"/>
    <w:rsid w:val="00662388"/>
    <w:rsid w:val="0066246E"/>
    <w:rsid w:val="00663EC0"/>
    <w:rsid w:val="00663FDA"/>
    <w:rsid w:val="006640CB"/>
    <w:rsid w:val="00666840"/>
    <w:rsid w:val="00672BF3"/>
    <w:rsid w:val="0068582E"/>
    <w:rsid w:val="00691311"/>
    <w:rsid w:val="006A115A"/>
    <w:rsid w:val="006A1605"/>
    <w:rsid w:val="006A1D73"/>
    <w:rsid w:val="006B4A6D"/>
    <w:rsid w:val="006B6BB5"/>
    <w:rsid w:val="006C0BB2"/>
    <w:rsid w:val="006C249A"/>
    <w:rsid w:val="006C7924"/>
    <w:rsid w:val="006D032B"/>
    <w:rsid w:val="006D2C43"/>
    <w:rsid w:val="006D433E"/>
    <w:rsid w:val="006D640A"/>
    <w:rsid w:val="006D793D"/>
    <w:rsid w:val="007051E3"/>
    <w:rsid w:val="00716789"/>
    <w:rsid w:val="00717B65"/>
    <w:rsid w:val="00721D98"/>
    <w:rsid w:val="00722239"/>
    <w:rsid w:val="007339F1"/>
    <w:rsid w:val="0074456F"/>
    <w:rsid w:val="00746209"/>
    <w:rsid w:val="0075146B"/>
    <w:rsid w:val="00754EC0"/>
    <w:rsid w:val="0076054F"/>
    <w:rsid w:val="00763206"/>
    <w:rsid w:val="0076435B"/>
    <w:rsid w:val="00783112"/>
    <w:rsid w:val="00791E94"/>
    <w:rsid w:val="007A19D1"/>
    <w:rsid w:val="007A2ACE"/>
    <w:rsid w:val="007D098E"/>
    <w:rsid w:val="007D0B53"/>
    <w:rsid w:val="007D1397"/>
    <w:rsid w:val="007E32E0"/>
    <w:rsid w:val="007E3918"/>
    <w:rsid w:val="007E45A4"/>
    <w:rsid w:val="007F3851"/>
    <w:rsid w:val="007F55A3"/>
    <w:rsid w:val="007F55AF"/>
    <w:rsid w:val="007F5FA1"/>
    <w:rsid w:val="007F6F2D"/>
    <w:rsid w:val="00805FAB"/>
    <w:rsid w:val="00810028"/>
    <w:rsid w:val="00820EDD"/>
    <w:rsid w:val="00821224"/>
    <w:rsid w:val="00823790"/>
    <w:rsid w:val="00825692"/>
    <w:rsid w:val="00840791"/>
    <w:rsid w:val="00842102"/>
    <w:rsid w:val="00846FB5"/>
    <w:rsid w:val="008472C4"/>
    <w:rsid w:val="008501EF"/>
    <w:rsid w:val="00850BF5"/>
    <w:rsid w:val="00851EB3"/>
    <w:rsid w:val="00873E09"/>
    <w:rsid w:val="00873FD2"/>
    <w:rsid w:val="00874F00"/>
    <w:rsid w:val="0088303E"/>
    <w:rsid w:val="00891309"/>
    <w:rsid w:val="00894BDF"/>
    <w:rsid w:val="00894C60"/>
    <w:rsid w:val="008A0C10"/>
    <w:rsid w:val="008A0C2C"/>
    <w:rsid w:val="008A4069"/>
    <w:rsid w:val="008B5394"/>
    <w:rsid w:val="008B7C25"/>
    <w:rsid w:val="008C374E"/>
    <w:rsid w:val="008C3960"/>
    <w:rsid w:val="008C4143"/>
    <w:rsid w:val="008C4172"/>
    <w:rsid w:val="008C7EFE"/>
    <w:rsid w:val="008D725D"/>
    <w:rsid w:val="008E2321"/>
    <w:rsid w:val="008F1A27"/>
    <w:rsid w:val="00910011"/>
    <w:rsid w:val="0091516A"/>
    <w:rsid w:val="0092253C"/>
    <w:rsid w:val="00927272"/>
    <w:rsid w:val="00927C71"/>
    <w:rsid w:val="00935C56"/>
    <w:rsid w:val="009434B5"/>
    <w:rsid w:val="00951849"/>
    <w:rsid w:val="009550D6"/>
    <w:rsid w:val="009706A5"/>
    <w:rsid w:val="00974657"/>
    <w:rsid w:val="0097492B"/>
    <w:rsid w:val="00975692"/>
    <w:rsid w:val="00987F18"/>
    <w:rsid w:val="00994516"/>
    <w:rsid w:val="009977FE"/>
    <w:rsid w:val="009A2257"/>
    <w:rsid w:val="009A354C"/>
    <w:rsid w:val="009A61EB"/>
    <w:rsid w:val="009A7BAC"/>
    <w:rsid w:val="009B4407"/>
    <w:rsid w:val="009B4660"/>
    <w:rsid w:val="009C4934"/>
    <w:rsid w:val="009C4FF3"/>
    <w:rsid w:val="009E735E"/>
    <w:rsid w:val="00A004E7"/>
    <w:rsid w:val="00A04EDE"/>
    <w:rsid w:val="00A0517C"/>
    <w:rsid w:val="00A12701"/>
    <w:rsid w:val="00A129ED"/>
    <w:rsid w:val="00A16AF2"/>
    <w:rsid w:val="00A17CC7"/>
    <w:rsid w:val="00A460E4"/>
    <w:rsid w:val="00A47035"/>
    <w:rsid w:val="00A50679"/>
    <w:rsid w:val="00A533DA"/>
    <w:rsid w:val="00A55EE7"/>
    <w:rsid w:val="00A6179D"/>
    <w:rsid w:val="00A621E5"/>
    <w:rsid w:val="00A64E9C"/>
    <w:rsid w:val="00A64FED"/>
    <w:rsid w:val="00A733F1"/>
    <w:rsid w:val="00A734EB"/>
    <w:rsid w:val="00A73BCB"/>
    <w:rsid w:val="00A76580"/>
    <w:rsid w:val="00A80D71"/>
    <w:rsid w:val="00A85946"/>
    <w:rsid w:val="00A87EA4"/>
    <w:rsid w:val="00AA5FC5"/>
    <w:rsid w:val="00AB1E45"/>
    <w:rsid w:val="00AB3BAB"/>
    <w:rsid w:val="00AB4309"/>
    <w:rsid w:val="00AC6DD6"/>
    <w:rsid w:val="00AD4D7A"/>
    <w:rsid w:val="00AE2B96"/>
    <w:rsid w:val="00AE4830"/>
    <w:rsid w:val="00AE530B"/>
    <w:rsid w:val="00AE7B83"/>
    <w:rsid w:val="00B2337F"/>
    <w:rsid w:val="00B277BB"/>
    <w:rsid w:val="00B31A0F"/>
    <w:rsid w:val="00B40886"/>
    <w:rsid w:val="00B46BE8"/>
    <w:rsid w:val="00B503B1"/>
    <w:rsid w:val="00B50D26"/>
    <w:rsid w:val="00B53578"/>
    <w:rsid w:val="00B65C00"/>
    <w:rsid w:val="00B71FB4"/>
    <w:rsid w:val="00B76A58"/>
    <w:rsid w:val="00B81B06"/>
    <w:rsid w:val="00B83CAC"/>
    <w:rsid w:val="00B853C5"/>
    <w:rsid w:val="00B91CD4"/>
    <w:rsid w:val="00B9510D"/>
    <w:rsid w:val="00BA37A1"/>
    <w:rsid w:val="00BB252A"/>
    <w:rsid w:val="00BB2539"/>
    <w:rsid w:val="00BC060E"/>
    <w:rsid w:val="00BC3BEE"/>
    <w:rsid w:val="00BE635B"/>
    <w:rsid w:val="00BF78B5"/>
    <w:rsid w:val="00C0122E"/>
    <w:rsid w:val="00C03799"/>
    <w:rsid w:val="00C05142"/>
    <w:rsid w:val="00C1517B"/>
    <w:rsid w:val="00C21644"/>
    <w:rsid w:val="00C2209E"/>
    <w:rsid w:val="00C2532E"/>
    <w:rsid w:val="00C30913"/>
    <w:rsid w:val="00C36163"/>
    <w:rsid w:val="00C46333"/>
    <w:rsid w:val="00C476B5"/>
    <w:rsid w:val="00C47834"/>
    <w:rsid w:val="00C50E12"/>
    <w:rsid w:val="00C50E2C"/>
    <w:rsid w:val="00C52AAB"/>
    <w:rsid w:val="00C6441B"/>
    <w:rsid w:val="00C650E4"/>
    <w:rsid w:val="00C66AE1"/>
    <w:rsid w:val="00C66DB0"/>
    <w:rsid w:val="00C7266B"/>
    <w:rsid w:val="00C73384"/>
    <w:rsid w:val="00C855E4"/>
    <w:rsid w:val="00CA2DF9"/>
    <w:rsid w:val="00CB7FC7"/>
    <w:rsid w:val="00CD19B1"/>
    <w:rsid w:val="00CD358D"/>
    <w:rsid w:val="00CD53E1"/>
    <w:rsid w:val="00CD7EA0"/>
    <w:rsid w:val="00CF3730"/>
    <w:rsid w:val="00CF37C6"/>
    <w:rsid w:val="00D00151"/>
    <w:rsid w:val="00D07753"/>
    <w:rsid w:val="00D11176"/>
    <w:rsid w:val="00D42E7A"/>
    <w:rsid w:val="00D549A7"/>
    <w:rsid w:val="00D564BB"/>
    <w:rsid w:val="00D63E36"/>
    <w:rsid w:val="00D7140A"/>
    <w:rsid w:val="00D718AA"/>
    <w:rsid w:val="00D76009"/>
    <w:rsid w:val="00D82CE6"/>
    <w:rsid w:val="00D82EC6"/>
    <w:rsid w:val="00D83F58"/>
    <w:rsid w:val="00D86752"/>
    <w:rsid w:val="00D8739F"/>
    <w:rsid w:val="00D94591"/>
    <w:rsid w:val="00D94ACA"/>
    <w:rsid w:val="00DA0CBA"/>
    <w:rsid w:val="00DA13E1"/>
    <w:rsid w:val="00DA59AE"/>
    <w:rsid w:val="00DC4A03"/>
    <w:rsid w:val="00DD1CC1"/>
    <w:rsid w:val="00DD581C"/>
    <w:rsid w:val="00DD68AA"/>
    <w:rsid w:val="00DD7D1B"/>
    <w:rsid w:val="00DE1D5F"/>
    <w:rsid w:val="00DE481E"/>
    <w:rsid w:val="00DE7CE9"/>
    <w:rsid w:val="00DF4A0D"/>
    <w:rsid w:val="00E11453"/>
    <w:rsid w:val="00E16CC0"/>
    <w:rsid w:val="00E17B99"/>
    <w:rsid w:val="00E24D1A"/>
    <w:rsid w:val="00E24F36"/>
    <w:rsid w:val="00E25C6D"/>
    <w:rsid w:val="00E41D68"/>
    <w:rsid w:val="00E4779A"/>
    <w:rsid w:val="00E545C7"/>
    <w:rsid w:val="00E56E1E"/>
    <w:rsid w:val="00E608B0"/>
    <w:rsid w:val="00E63B63"/>
    <w:rsid w:val="00E73E3D"/>
    <w:rsid w:val="00E807BC"/>
    <w:rsid w:val="00E86090"/>
    <w:rsid w:val="00E9319E"/>
    <w:rsid w:val="00EA32F7"/>
    <w:rsid w:val="00EA39AB"/>
    <w:rsid w:val="00EA467D"/>
    <w:rsid w:val="00EB3CEF"/>
    <w:rsid w:val="00EC05C1"/>
    <w:rsid w:val="00EC0CD6"/>
    <w:rsid w:val="00EC3F6E"/>
    <w:rsid w:val="00EC5378"/>
    <w:rsid w:val="00EE4290"/>
    <w:rsid w:val="00EF38EE"/>
    <w:rsid w:val="00EF4B0A"/>
    <w:rsid w:val="00EF6F84"/>
    <w:rsid w:val="00F02159"/>
    <w:rsid w:val="00F17AAB"/>
    <w:rsid w:val="00F2194D"/>
    <w:rsid w:val="00F233D8"/>
    <w:rsid w:val="00F30158"/>
    <w:rsid w:val="00F437B6"/>
    <w:rsid w:val="00F462F2"/>
    <w:rsid w:val="00F528B6"/>
    <w:rsid w:val="00F52910"/>
    <w:rsid w:val="00F52F22"/>
    <w:rsid w:val="00F621DC"/>
    <w:rsid w:val="00F659F8"/>
    <w:rsid w:val="00F82D1D"/>
    <w:rsid w:val="00F855C6"/>
    <w:rsid w:val="00F87FF9"/>
    <w:rsid w:val="00F96707"/>
    <w:rsid w:val="00FA2081"/>
    <w:rsid w:val="00FA72CF"/>
    <w:rsid w:val="00FB0663"/>
    <w:rsid w:val="00FB0852"/>
    <w:rsid w:val="00FC7413"/>
    <w:rsid w:val="00FD06FF"/>
    <w:rsid w:val="00FD798C"/>
    <w:rsid w:val="00FE4B47"/>
    <w:rsid w:val="00FE5201"/>
    <w:rsid w:val="00FF12A1"/>
    <w:rsid w:val="00FF525E"/>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C88D"/>
  <w15:docId w15:val="{49429E7C-2919-42FB-A5DF-A6E54977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E5"/>
  </w:style>
  <w:style w:type="paragraph" w:styleId="Heading1">
    <w:name w:val="heading 1"/>
    <w:basedOn w:val="Normal"/>
    <w:link w:val="Heading1Char"/>
    <w:uiPriority w:val="9"/>
    <w:qFormat/>
    <w:rsid w:val="00791E94"/>
    <w:pPr>
      <w:spacing w:before="100" w:beforeAutospacing="1" w:after="100" w:afterAutospacing="1" w:line="240" w:lineRule="auto"/>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E94"/>
    <w:rPr>
      <w:rFonts w:eastAsia="Times New Roman"/>
      <w:b/>
      <w:bCs/>
      <w:kern w:val="36"/>
      <w:sz w:val="48"/>
      <w:szCs w:val="48"/>
      <w:lang w:eastAsia="en-GB"/>
    </w:rPr>
  </w:style>
  <w:style w:type="character" w:styleId="Hyperlink">
    <w:name w:val="Hyperlink"/>
    <w:basedOn w:val="DefaultParagraphFont"/>
    <w:uiPriority w:val="99"/>
    <w:unhideWhenUsed/>
    <w:rsid w:val="00573480"/>
    <w:rPr>
      <w:color w:val="0000FF" w:themeColor="hyperlink"/>
      <w:u w:val="single"/>
    </w:rPr>
  </w:style>
  <w:style w:type="character" w:styleId="UnresolvedMention">
    <w:name w:val="Unresolved Mention"/>
    <w:basedOn w:val="DefaultParagraphFont"/>
    <w:uiPriority w:val="99"/>
    <w:semiHidden/>
    <w:unhideWhenUsed/>
    <w:rsid w:val="003360E5"/>
    <w:rPr>
      <w:color w:val="605E5C"/>
      <w:shd w:val="clear" w:color="auto" w:fill="E1DFDD"/>
    </w:rPr>
  </w:style>
  <w:style w:type="paragraph" w:styleId="Revision">
    <w:name w:val="Revision"/>
    <w:hidden/>
    <w:uiPriority w:val="99"/>
    <w:semiHidden/>
    <w:rsid w:val="00D76009"/>
    <w:pPr>
      <w:spacing w:after="0" w:line="240" w:lineRule="auto"/>
    </w:pPr>
  </w:style>
  <w:style w:type="paragraph" w:styleId="Header">
    <w:name w:val="header"/>
    <w:basedOn w:val="Normal"/>
    <w:link w:val="HeaderChar"/>
    <w:uiPriority w:val="99"/>
    <w:unhideWhenUsed/>
    <w:rsid w:val="008F1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A27"/>
  </w:style>
  <w:style w:type="paragraph" w:styleId="Footer">
    <w:name w:val="footer"/>
    <w:basedOn w:val="Normal"/>
    <w:link w:val="FooterChar"/>
    <w:uiPriority w:val="99"/>
    <w:unhideWhenUsed/>
    <w:rsid w:val="008F1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A27"/>
  </w:style>
  <w:style w:type="paragraph" w:styleId="FootnoteText">
    <w:name w:val="footnote text"/>
    <w:basedOn w:val="Normal"/>
    <w:link w:val="FootnoteTextChar"/>
    <w:uiPriority w:val="99"/>
    <w:semiHidden/>
    <w:unhideWhenUsed/>
    <w:rsid w:val="00050D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DD4"/>
    <w:rPr>
      <w:sz w:val="20"/>
      <w:szCs w:val="20"/>
    </w:rPr>
  </w:style>
  <w:style w:type="character" w:styleId="FootnoteReference">
    <w:name w:val="footnote reference"/>
    <w:basedOn w:val="DefaultParagraphFont"/>
    <w:uiPriority w:val="99"/>
    <w:semiHidden/>
    <w:unhideWhenUsed/>
    <w:rsid w:val="00050DD4"/>
    <w:rPr>
      <w:vertAlign w:val="superscript"/>
    </w:rPr>
  </w:style>
  <w:style w:type="character" w:styleId="Strong">
    <w:name w:val="Strong"/>
    <w:basedOn w:val="DefaultParagraphFont"/>
    <w:uiPriority w:val="22"/>
    <w:qFormat/>
    <w:rsid w:val="009706A5"/>
    <w:rPr>
      <w:b/>
      <w:bCs/>
    </w:rPr>
  </w:style>
  <w:style w:type="paragraph" w:customStyle="1" w:styleId="Default">
    <w:name w:val="Default"/>
    <w:rsid w:val="00FB0663"/>
    <w:pPr>
      <w:autoSpaceDE w:val="0"/>
      <w:autoSpaceDN w:val="0"/>
      <w:adjustRightInd w:val="0"/>
      <w:spacing w:after="0" w:line="240" w:lineRule="auto"/>
    </w:pPr>
    <w:rPr>
      <w:rFonts w:ascii="Code" w:hAnsi="Code" w:cs="Code"/>
      <w:color w:val="000000"/>
    </w:rPr>
  </w:style>
  <w:style w:type="paragraph" w:styleId="NormalWeb">
    <w:name w:val="Normal (Web)"/>
    <w:basedOn w:val="Normal"/>
    <w:uiPriority w:val="99"/>
    <w:unhideWhenUsed/>
    <w:rsid w:val="00204081"/>
  </w:style>
  <w:style w:type="paragraph" w:customStyle="1" w:styleId="xmsonormal">
    <w:name w:val="x_msonormal"/>
    <w:basedOn w:val="Normal"/>
    <w:rsid w:val="00CD7EA0"/>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16054">
      <w:bodyDiv w:val="1"/>
      <w:marLeft w:val="0"/>
      <w:marRight w:val="0"/>
      <w:marTop w:val="0"/>
      <w:marBottom w:val="0"/>
      <w:divBdr>
        <w:top w:val="none" w:sz="0" w:space="0" w:color="auto"/>
        <w:left w:val="none" w:sz="0" w:space="0" w:color="auto"/>
        <w:bottom w:val="none" w:sz="0" w:space="0" w:color="auto"/>
        <w:right w:val="none" w:sz="0" w:space="0" w:color="auto"/>
      </w:divBdr>
    </w:div>
    <w:div w:id="1823618076">
      <w:bodyDiv w:val="1"/>
      <w:marLeft w:val="0"/>
      <w:marRight w:val="0"/>
      <w:marTop w:val="0"/>
      <w:marBottom w:val="0"/>
      <w:divBdr>
        <w:top w:val="none" w:sz="0" w:space="0" w:color="auto"/>
        <w:left w:val="none" w:sz="0" w:space="0" w:color="auto"/>
        <w:bottom w:val="none" w:sz="0" w:space="0" w:color="auto"/>
        <w:right w:val="none" w:sz="0" w:space="0" w:color="auto"/>
      </w:divBdr>
    </w:div>
    <w:div w:id="1855225584">
      <w:bodyDiv w:val="1"/>
      <w:marLeft w:val="0"/>
      <w:marRight w:val="0"/>
      <w:marTop w:val="0"/>
      <w:marBottom w:val="0"/>
      <w:divBdr>
        <w:top w:val="none" w:sz="0" w:space="0" w:color="auto"/>
        <w:left w:val="none" w:sz="0" w:space="0" w:color="auto"/>
        <w:bottom w:val="none" w:sz="0" w:space="0" w:color="auto"/>
        <w:right w:val="none" w:sz="0" w:space="0" w:color="auto"/>
      </w:divBdr>
      <w:divsChild>
        <w:div w:id="15693369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732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CAC4-8AB0-4E32-819B-9B627352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8545</Words>
  <Characters>48709</Characters>
  <Application>Microsoft Office Word</Application>
  <DocSecurity>0</DocSecurity>
  <Lines>405</Lines>
  <Paragraphs>114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Tax after the American War of Independence: A Consideration of The Federalist an</vt:lpstr>
      <vt:lpstr/>
      <vt:lpstr/>
      <vt:lpstr>JANE FRECKNALL-HUGHES AND HANS GRIBNAU</vt:lpstr>
      <vt:lpstr/>
      <vt:lpstr/>
    </vt:vector>
  </TitlesOfParts>
  <Company>Grizli777</Company>
  <LinksUpToDate>false</LinksUpToDate>
  <CharactersWithSpaces>57140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Frecknall-Hughes</dc:creator>
  <cp:lastModifiedBy>Jane Frecknall-Hughes</cp:lastModifiedBy>
  <cp:revision>4</cp:revision>
  <cp:lastPrinted>2022-06-16T15:10:00Z</cp:lastPrinted>
  <dcterms:created xsi:type="dcterms:W3CDTF">2022-06-20T15:50:00Z</dcterms:created>
  <dcterms:modified xsi:type="dcterms:W3CDTF">2022-06-20T16:00:00Z</dcterms:modified>
</cp:coreProperties>
</file>